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9F1706" w:rsidP="005D0621">
            <w:pPr>
              <w:rPr>
                <w:b/>
              </w:rPr>
            </w:pPr>
            <w:r>
              <w:rPr>
                <w:rStyle w:val="Firstpagetablebold"/>
              </w:rPr>
              <w:t>19 May</w:t>
            </w:r>
            <w:r w:rsidR="00165365">
              <w:rPr>
                <w:rStyle w:val="Firstpagetablebold"/>
              </w:rPr>
              <w:t xml:space="preserve">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DE68C6" w:rsidP="004A6D2F">
            <w:pPr>
              <w:rPr>
                <w:rStyle w:val="Firstpagetablebold"/>
              </w:rPr>
            </w:pPr>
            <w:r>
              <w:rPr>
                <w:rStyle w:val="Firstpagetablebold"/>
              </w:rPr>
              <w:t>Head of Planning and Regulatory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165365" w:rsidP="004A6D2F">
            <w:pPr>
              <w:rPr>
                <w:rStyle w:val="Firstpagetablebold"/>
              </w:rPr>
            </w:pPr>
            <w:r w:rsidRPr="00165365">
              <w:rPr>
                <w:rStyle w:val="Firstpagetablebold"/>
              </w:rPr>
              <w:t xml:space="preserve">Report on </w:t>
            </w:r>
            <w:r>
              <w:rPr>
                <w:rStyle w:val="Firstpagetablebold"/>
              </w:rPr>
              <w:t xml:space="preserve">the </w:t>
            </w:r>
            <w:r w:rsidRPr="00165365">
              <w:rPr>
                <w:rStyle w:val="Firstpagetablebold"/>
              </w:rPr>
              <w:t>Community Infrastructure Levy (Neighbourhood Portion) – Agreeing the process for consulting and spending</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165365" w:rsidRDefault="008443B4" w:rsidP="00165365">
            <w:pPr>
              <w:numPr>
                <w:ilvl w:val="0"/>
                <w:numId w:val="34"/>
              </w:numPr>
            </w:pPr>
            <w:r>
              <w:t xml:space="preserve">Note the requirements for expending the neighbourhood portion of CIL in </w:t>
            </w:r>
            <w:proofErr w:type="spellStart"/>
            <w:r>
              <w:t>parished</w:t>
            </w:r>
            <w:proofErr w:type="spellEnd"/>
            <w:r>
              <w:t xml:space="preserve"> areas</w:t>
            </w:r>
          </w:p>
          <w:p w:rsidR="00D5547E" w:rsidRPr="001356F1" w:rsidRDefault="001B5EA4" w:rsidP="008443B4">
            <w:pPr>
              <w:numPr>
                <w:ilvl w:val="0"/>
                <w:numId w:val="34"/>
              </w:numPr>
            </w:pPr>
            <w:r>
              <w:t>Agree the pr</w:t>
            </w:r>
            <w:r w:rsidR="00165365">
              <w:t xml:space="preserve">ocedures for </w:t>
            </w:r>
            <w:r w:rsidR="008443B4">
              <w:t>expending</w:t>
            </w:r>
            <w:r w:rsidR="00165365">
              <w:t xml:space="preserve"> the </w:t>
            </w:r>
            <w:r w:rsidR="00E72D53">
              <w:t xml:space="preserve">Neighbourhood </w:t>
            </w:r>
            <w:r w:rsidR="00902133">
              <w:t xml:space="preserve">Portion </w:t>
            </w:r>
            <w:r w:rsidR="00E72D53">
              <w:t>of CIL</w:t>
            </w:r>
            <w:r w:rsidR="008443B4">
              <w:t xml:space="preserve"> in non </w:t>
            </w:r>
            <w:proofErr w:type="spellStart"/>
            <w:r w:rsidR="008443B4">
              <w:t>parished</w:t>
            </w:r>
            <w:proofErr w:type="spellEnd"/>
            <w:r w:rsidR="008443B4">
              <w:t xml:space="preserve"> areas</w:t>
            </w:r>
            <w:r w:rsidR="00E72D53">
              <w:t>.</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651C7A" w:rsidP="005F7F7E">
            <w:r>
              <w:t>Yes</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E72D53">
            <w:r w:rsidRPr="001356F1">
              <w:t xml:space="preserve">Councillor </w:t>
            </w:r>
            <w:r w:rsidR="00E72D53">
              <w:t xml:space="preserve">Alex Hollingsworth - </w:t>
            </w:r>
            <w:r w:rsidR="00E72D53" w:rsidRPr="00E72D53">
              <w:t>Planning, Transport and Regulatory Services</w:t>
            </w:r>
          </w:p>
        </w:tc>
      </w:tr>
      <w:tr w:rsidR="0080749A" w:rsidTr="0080749A">
        <w:tc>
          <w:tcPr>
            <w:tcW w:w="2438" w:type="dxa"/>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E24748" w:rsidRDefault="00E24748" w:rsidP="005F7F7E">
            <w:r>
              <w:t>Vibrant and Sustainable Economy</w:t>
            </w:r>
          </w:p>
          <w:p w:rsidR="00E72D53" w:rsidRDefault="00E72D53" w:rsidP="005F7F7E">
            <w:r>
              <w:t>Strong and Active Communities</w:t>
            </w:r>
          </w:p>
          <w:p w:rsidR="0080749A" w:rsidRPr="001356F1" w:rsidRDefault="00E72D53" w:rsidP="005F7F7E">
            <w:r>
              <w:t>A Clean Green Oxford</w:t>
            </w:r>
            <w:r w:rsidR="0080749A" w:rsidRPr="001356F1">
              <w:t>.</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2C369C" w:rsidP="005F7F7E">
            <w:r>
              <w:t>None</w:t>
            </w:r>
          </w:p>
        </w:tc>
      </w:tr>
      <w:tr w:rsidR="005F7F7E" w:rsidRPr="00975B07" w:rsidTr="00A46E98">
        <w:trPr>
          <w:trHeight w:val="413"/>
        </w:trPr>
        <w:tc>
          <w:tcPr>
            <w:tcW w:w="8845" w:type="dxa"/>
            <w:gridSpan w:val="2"/>
            <w:tcBorders>
              <w:bottom w:val="single" w:sz="8" w:space="0" w:color="000000"/>
            </w:tcBorders>
          </w:tcPr>
          <w:p w:rsidR="00864930" w:rsidRPr="00833B94" w:rsidRDefault="00864930" w:rsidP="00864930">
            <w:pPr>
              <w:rPr>
                <w:rStyle w:val="Firstpagetablebold"/>
                <w:b w:val="0"/>
              </w:rPr>
            </w:pPr>
            <w:r w:rsidRPr="00833B94">
              <w:rPr>
                <w:rStyle w:val="Firstpagetablebold"/>
                <w:b w:val="0"/>
              </w:rPr>
              <w:t>Recommendation(s):That the City Executive Board resolves to:</w:t>
            </w:r>
          </w:p>
          <w:p w:rsidR="00864930" w:rsidRPr="00864930" w:rsidRDefault="00864930" w:rsidP="00043FD6">
            <w:pPr>
              <w:ind w:left="743" w:hanging="743"/>
              <w:rPr>
                <w:rStyle w:val="Firstpagetablebold"/>
              </w:rPr>
            </w:pPr>
            <w:r w:rsidRPr="00833B94">
              <w:rPr>
                <w:rStyle w:val="Firstpagetablebold"/>
                <w:b w:val="0"/>
              </w:rPr>
              <w:t>1.</w:t>
            </w:r>
            <w:r w:rsidRPr="00864930">
              <w:rPr>
                <w:rStyle w:val="Firstpagetablebold"/>
              </w:rPr>
              <w:tab/>
            </w:r>
            <w:r w:rsidR="008443B4" w:rsidRPr="008443B4">
              <w:rPr>
                <w:rStyle w:val="Firstpagetablebold"/>
              </w:rPr>
              <w:t xml:space="preserve">Note </w:t>
            </w:r>
            <w:r w:rsidR="008443B4" w:rsidRPr="00CD1F3C">
              <w:rPr>
                <w:rStyle w:val="Firstpagetablebold"/>
                <w:b w:val="0"/>
              </w:rPr>
              <w:t xml:space="preserve">the requirements for expending the neighbourhood portion of CIL in </w:t>
            </w:r>
            <w:proofErr w:type="spellStart"/>
            <w:r w:rsidR="008443B4" w:rsidRPr="00CD1F3C">
              <w:rPr>
                <w:rStyle w:val="Firstpagetablebold"/>
                <w:b w:val="0"/>
              </w:rPr>
              <w:t>parished</w:t>
            </w:r>
            <w:proofErr w:type="spellEnd"/>
            <w:r w:rsidR="008443B4" w:rsidRPr="00CD1F3C">
              <w:rPr>
                <w:rStyle w:val="Firstpagetablebold"/>
                <w:b w:val="0"/>
              </w:rPr>
              <w:t xml:space="preserve"> areas</w:t>
            </w:r>
          </w:p>
          <w:p w:rsidR="005F7F7E" w:rsidRDefault="00864930" w:rsidP="00043FD6">
            <w:pPr>
              <w:ind w:left="743" w:hanging="709"/>
              <w:rPr>
                <w:rStyle w:val="Firstpagetablebold"/>
              </w:rPr>
            </w:pPr>
            <w:r w:rsidRPr="00833B94">
              <w:rPr>
                <w:rStyle w:val="Firstpagetablebold"/>
                <w:b w:val="0"/>
              </w:rPr>
              <w:t>2.</w:t>
            </w:r>
            <w:r w:rsidRPr="00864930">
              <w:rPr>
                <w:rStyle w:val="Firstpagetablebold"/>
              </w:rPr>
              <w:tab/>
              <w:t xml:space="preserve">Approve </w:t>
            </w:r>
            <w:r w:rsidRPr="00833B94">
              <w:rPr>
                <w:rStyle w:val="Firstpagetablebold"/>
                <w:b w:val="0"/>
              </w:rPr>
              <w:t>the process for spending the Neighbourhood Portion of CIL</w:t>
            </w:r>
            <w:r w:rsidR="008C77AB">
              <w:rPr>
                <w:rStyle w:val="Firstpagetablebold"/>
                <w:b w:val="0"/>
              </w:rPr>
              <w:t xml:space="preserve"> in the non </w:t>
            </w:r>
            <w:proofErr w:type="spellStart"/>
            <w:r w:rsidR="008C77AB">
              <w:rPr>
                <w:rStyle w:val="Firstpagetablebold"/>
                <w:b w:val="0"/>
              </w:rPr>
              <w:t>parished</w:t>
            </w:r>
            <w:proofErr w:type="spellEnd"/>
            <w:r w:rsidR="008C77AB">
              <w:rPr>
                <w:rStyle w:val="Firstpagetablebold"/>
                <w:b w:val="0"/>
              </w:rPr>
              <w:t xml:space="preserve"> part of the City</w:t>
            </w:r>
          </w:p>
          <w:p w:rsidR="00864930" w:rsidRPr="00975B07" w:rsidRDefault="00864930" w:rsidP="00864930">
            <w:pPr>
              <w:pStyle w:val="ListParagraph"/>
              <w:numPr>
                <w:ilvl w:val="0"/>
                <w:numId w:val="0"/>
              </w:numPr>
              <w:ind w:left="720"/>
            </w:pPr>
          </w:p>
        </w:tc>
      </w:tr>
    </w:tbl>
    <w:p w:rsidR="00864930" w:rsidRPr="009E51FC" w:rsidRDefault="00864930"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8C77AB" w:rsidP="004A6D2F">
            <w:r>
              <w:t xml:space="preserve"> </w:t>
            </w:r>
            <w:r w:rsidRPr="008C77AB">
              <w:t>Risk Register</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ED5860" w:rsidP="008C77AB"/>
        </w:tc>
        <w:tc>
          <w:tcPr>
            <w:tcW w:w="6406" w:type="dxa"/>
            <w:tcBorders>
              <w:top w:val="nil"/>
              <w:left w:val="nil"/>
              <w:bottom w:val="nil"/>
              <w:right w:val="single" w:sz="8" w:space="0" w:color="000000"/>
            </w:tcBorders>
          </w:tcPr>
          <w:p w:rsidR="00ED5860" w:rsidRPr="001356F1" w:rsidRDefault="00ED5860" w:rsidP="004A6D2F"/>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043FD6" w:rsidRDefault="00043FD6" w:rsidP="004A6D2F">
      <w:pPr>
        <w:pStyle w:val="Heading1"/>
      </w:pPr>
    </w:p>
    <w:p w:rsidR="0040736F" w:rsidRPr="001356F1" w:rsidRDefault="00F66DCA" w:rsidP="004A6D2F">
      <w:pPr>
        <w:pStyle w:val="Heading1"/>
      </w:pPr>
      <w:bookmarkStart w:id="0" w:name="_GoBack"/>
      <w:bookmarkEnd w:id="0"/>
      <w:r w:rsidRPr="001356F1">
        <w:t xml:space="preserve">Introduction </w:t>
      </w:r>
    </w:p>
    <w:p w:rsidR="00E87F7A" w:rsidRDefault="00C744FC" w:rsidP="00C744FC">
      <w:pPr>
        <w:pStyle w:val="ListParagraph"/>
      </w:pPr>
      <w:r w:rsidRPr="00C744FC">
        <w:t xml:space="preserve">The City Council </w:t>
      </w:r>
      <w:r w:rsidR="00453DA4">
        <w:t xml:space="preserve">brought </w:t>
      </w:r>
      <w:r w:rsidRPr="00C744FC">
        <w:t>the Community Infrastructure Levy (CIL)</w:t>
      </w:r>
      <w:r w:rsidR="00453DA4">
        <w:t xml:space="preserve"> into effect</w:t>
      </w:r>
      <w:r w:rsidRPr="00C744FC">
        <w:t xml:space="preserve"> on 21 October 2013.  The levy is a standard charge towards the cost of infrastructure and to support development in the </w:t>
      </w:r>
      <w:r w:rsidR="00AD2FE5">
        <w:t>C</w:t>
      </w:r>
      <w:r w:rsidR="00AD2FE5" w:rsidRPr="00C744FC">
        <w:t>ity</w:t>
      </w:r>
      <w:r w:rsidRPr="00C744FC">
        <w:t>.</w:t>
      </w:r>
      <w:r>
        <w:t xml:space="preserve">  </w:t>
      </w:r>
    </w:p>
    <w:p w:rsidR="001B5EA4" w:rsidRDefault="001B5EA4" w:rsidP="00CD224F">
      <w:pPr>
        <w:pStyle w:val="bParagraphtext"/>
        <w:numPr>
          <w:ilvl w:val="0"/>
          <w:numId w:val="0"/>
        </w:numPr>
        <w:ind w:left="426" w:hanging="426"/>
        <w:rPr>
          <w:b/>
        </w:rPr>
      </w:pPr>
    </w:p>
    <w:p w:rsidR="00CD224F" w:rsidRPr="00CD224F" w:rsidRDefault="00CD224F" w:rsidP="00CD224F">
      <w:pPr>
        <w:pStyle w:val="bParagraphtext"/>
        <w:numPr>
          <w:ilvl w:val="0"/>
          <w:numId w:val="0"/>
        </w:numPr>
        <w:ind w:left="426" w:hanging="426"/>
        <w:rPr>
          <w:b/>
        </w:rPr>
      </w:pPr>
      <w:r w:rsidRPr="00CD224F">
        <w:rPr>
          <w:b/>
        </w:rPr>
        <w:t xml:space="preserve">The Neighbourhood Portion of CIL </w:t>
      </w:r>
    </w:p>
    <w:p w:rsidR="004F76E2" w:rsidRDefault="004F76E2" w:rsidP="004F76E2">
      <w:pPr>
        <w:pStyle w:val="bParagraphtext"/>
      </w:pPr>
      <w:r>
        <w:t>CIL receipts must be used for funding the provision, improvement, replacement, operation or maintenance of infrastructure to support the development of the Council’s area</w:t>
      </w:r>
    </w:p>
    <w:p w:rsidR="004F76E2" w:rsidRDefault="004F76E2" w:rsidP="0076780C">
      <w:pPr>
        <w:pStyle w:val="bParagraphtext"/>
      </w:pPr>
      <w:r>
        <w:t xml:space="preserve">The Neighbourhood Portion is an exception to this. </w:t>
      </w:r>
    </w:p>
    <w:p w:rsidR="005E5551" w:rsidRDefault="004F76E2" w:rsidP="00DF0C35">
      <w:pPr>
        <w:pStyle w:val="bParagraphtext"/>
      </w:pPr>
      <w:r>
        <w:t>I</w:t>
      </w:r>
      <w:r w:rsidR="003C1C97">
        <w:t xml:space="preserve">n the non </w:t>
      </w:r>
      <w:proofErr w:type="spellStart"/>
      <w:r w:rsidR="003C1C97">
        <w:t>parished</w:t>
      </w:r>
      <w:proofErr w:type="spellEnd"/>
      <w:r w:rsidR="003C1C97">
        <w:t xml:space="preserve"> part of the City</w:t>
      </w:r>
      <w:r>
        <w:t>,</w:t>
      </w:r>
      <w:r w:rsidR="003C1C97">
        <w:t xml:space="preserve"> t</w:t>
      </w:r>
      <w:r w:rsidR="00F809A9">
        <w:t>he CIL Regulations allow for a proportion of levy receipts to be used for a wider range of things than the rest of the levy</w:t>
      </w:r>
      <w:r w:rsidR="00F10192">
        <w:t>.  Where the receipt derives from a development within the area covered by a neighbourhood plan that proportion is</w:t>
      </w:r>
      <w:r w:rsidR="00D80E42">
        <w:t xml:space="preserve"> up to</w:t>
      </w:r>
      <w:r w:rsidR="00F10192">
        <w:t xml:space="preserve"> 25%</w:t>
      </w:r>
      <w:r w:rsidR="003401A4">
        <w:t xml:space="preserve">.  Otherwise the proportion is </w:t>
      </w:r>
      <w:r w:rsidR="00DA4F30">
        <w:t>up to</w:t>
      </w:r>
      <w:r w:rsidR="00370FA9">
        <w:t xml:space="preserve"> </w:t>
      </w:r>
      <w:r w:rsidR="003401A4">
        <w:t xml:space="preserve">15% </w:t>
      </w:r>
      <w:r w:rsidR="00DF0C35">
        <w:t>with</w:t>
      </w:r>
      <w:r w:rsidR="003401A4">
        <w:t xml:space="preserve"> a cap of </w:t>
      </w:r>
      <w:r w:rsidR="005E5551">
        <w:t>£100 (indexed) per dwelling</w:t>
      </w:r>
      <w:r w:rsidR="00DF0C35">
        <w:t xml:space="preserve"> </w:t>
      </w:r>
      <w:r w:rsidR="005E5551">
        <w:t xml:space="preserve">within the </w:t>
      </w:r>
      <w:r w:rsidR="003C1C97">
        <w:t xml:space="preserve">non </w:t>
      </w:r>
      <w:proofErr w:type="spellStart"/>
      <w:r w:rsidR="003C1C97">
        <w:t>parished</w:t>
      </w:r>
      <w:proofErr w:type="spellEnd"/>
      <w:r w:rsidR="005E5551">
        <w:t xml:space="preserve"> area</w:t>
      </w:r>
      <w:r w:rsidR="00DF0C35" w:rsidRPr="00DF0C35">
        <w:t xml:space="preserve"> per financial year</w:t>
      </w:r>
      <w:r w:rsidR="005E5551">
        <w:t>.  This is known as the Neighbourhood Portion.</w:t>
      </w:r>
    </w:p>
    <w:p w:rsidR="005E5551" w:rsidRDefault="005E5551" w:rsidP="005E5551">
      <w:pPr>
        <w:pStyle w:val="bParagraphtext"/>
      </w:pPr>
      <w:r>
        <w:t xml:space="preserve">The wider range of uses comprise supporting the development of the </w:t>
      </w:r>
      <w:r w:rsidR="003C1C97">
        <w:t xml:space="preserve">non </w:t>
      </w:r>
      <w:proofErr w:type="spellStart"/>
      <w:r w:rsidR="003C1C97">
        <w:t>parished</w:t>
      </w:r>
      <w:proofErr w:type="spellEnd"/>
      <w:r>
        <w:t xml:space="preserve"> area by funding</w:t>
      </w:r>
    </w:p>
    <w:p w:rsidR="007C7640" w:rsidRDefault="005E5551" w:rsidP="00651C7A">
      <w:pPr>
        <w:pStyle w:val="bParagraphtext"/>
        <w:numPr>
          <w:ilvl w:val="1"/>
          <w:numId w:val="14"/>
        </w:numPr>
      </w:pPr>
      <w:r>
        <w:t>the provision, improvement, replacement, operation or maintenance of infrastructure; or</w:t>
      </w:r>
    </w:p>
    <w:p w:rsidR="004F76E2" w:rsidRDefault="005E5551" w:rsidP="00651C7A">
      <w:pPr>
        <w:pStyle w:val="bParagraphtext"/>
        <w:numPr>
          <w:ilvl w:val="1"/>
          <w:numId w:val="14"/>
        </w:numPr>
      </w:pPr>
      <w:proofErr w:type="gramStart"/>
      <w:r>
        <w:t>anything</w:t>
      </w:r>
      <w:proofErr w:type="gramEnd"/>
      <w:r>
        <w:t xml:space="preserve"> else that is concerned with addressing the demands that development places</w:t>
      </w:r>
      <w:r w:rsidR="007C7640">
        <w:t xml:space="preserve"> </w:t>
      </w:r>
      <w:r>
        <w:t>on an area.</w:t>
      </w:r>
    </w:p>
    <w:p w:rsidR="003C1C97" w:rsidRDefault="003C1C97" w:rsidP="0076780C">
      <w:pPr>
        <w:pStyle w:val="bParagraphtext"/>
      </w:pPr>
      <w:r>
        <w:t xml:space="preserve">It is recommended that </w:t>
      </w:r>
      <w:r w:rsidR="00FB567E">
        <w:t>the Council uses this power.</w:t>
      </w:r>
    </w:p>
    <w:p w:rsidR="004F76E2" w:rsidRDefault="004F76E2" w:rsidP="00377856">
      <w:pPr>
        <w:pStyle w:val="bParagraphtext"/>
      </w:pPr>
      <w:r>
        <w:t xml:space="preserve">In </w:t>
      </w:r>
      <w:proofErr w:type="spellStart"/>
      <w:r>
        <w:t>parished</w:t>
      </w:r>
      <w:proofErr w:type="spellEnd"/>
      <w:r>
        <w:t xml:space="preserve"> parts of the City </w:t>
      </w:r>
      <w:r w:rsidR="00DF0C35">
        <w:t>the Council must pass the Neighbourhood Proportion of levy receipts from development within the parish to the parish council.  Again the proportion is 25% if the development was located in an area covered by a neighbourhood plan and 15% (subject to the cap) if not.</w:t>
      </w:r>
    </w:p>
    <w:p w:rsidR="0048737A" w:rsidRDefault="00DF0C35" w:rsidP="00DF0C35">
      <w:pPr>
        <w:pStyle w:val="bParagraphtext"/>
      </w:pPr>
      <w:r>
        <w:t>These funds must be used by the</w:t>
      </w:r>
      <w:r w:rsidR="0048737A">
        <w:t xml:space="preserve"> receiving</w:t>
      </w:r>
      <w:r>
        <w:t xml:space="preserve"> parish council to support the development of th</w:t>
      </w:r>
      <w:r w:rsidR="0048737A">
        <w:t>at</w:t>
      </w:r>
      <w:r>
        <w:t xml:space="preserve"> parish council's area, or any part of that area</w:t>
      </w:r>
      <w:r w:rsidR="0048737A">
        <w:t>, by funding</w:t>
      </w:r>
    </w:p>
    <w:p w:rsidR="0048737A" w:rsidRDefault="00DF0C35" w:rsidP="00651C7A">
      <w:pPr>
        <w:pStyle w:val="bParagraphtext"/>
        <w:numPr>
          <w:ilvl w:val="1"/>
          <w:numId w:val="14"/>
        </w:numPr>
      </w:pPr>
      <w:r>
        <w:t>the provision, improvement, replacement, operation or maintenance of infrastructure;</w:t>
      </w:r>
      <w:r w:rsidR="0048737A">
        <w:t xml:space="preserve"> </w:t>
      </w:r>
      <w:r>
        <w:t>or</w:t>
      </w:r>
    </w:p>
    <w:p w:rsidR="00DF0C35" w:rsidRDefault="00DF0C35" w:rsidP="00651C7A">
      <w:pPr>
        <w:pStyle w:val="bParagraphtext"/>
        <w:numPr>
          <w:ilvl w:val="1"/>
          <w:numId w:val="14"/>
        </w:numPr>
      </w:pPr>
      <w:proofErr w:type="gramStart"/>
      <w:r>
        <w:t>anything</w:t>
      </w:r>
      <w:proofErr w:type="gramEnd"/>
      <w:r>
        <w:t xml:space="preserve"> else that is concerned with addressing the demands that development places</w:t>
      </w:r>
      <w:r w:rsidR="0048737A">
        <w:t xml:space="preserve"> </w:t>
      </w:r>
      <w:r>
        <w:t>on an area.</w:t>
      </w:r>
    </w:p>
    <w:p w:rsidR="00043FD6" w:rsidRDefault="00043FD6" w:rsidP="00E03711">
      <w:pPr>
        <w:pStyle w:val="bParagraphtext"/>
        <w:numPr>
          <w:ilvl w:val="0"/>
          <w:numId w:val="0"/>
        </w:numPr>
        <w:ind w:left="426" w:hanging="426"/>
        <w:rPr>
          <w:b/>
        </w:rPr>
      </w:pPr>
    </w:p>
    <w:p w:rsidR="00CD224F" w:rsidRDefault="00CD224F" w:rsidP="00E03711">
      <w:pPr>
        <w:pStyle w:val="bParagraphtext"/>
        <w:numPr>
          <w:ilvl w:val="0"/>
          <w:numId w:val="0"/>
        </w:numPr>
        <w:ind w:left="426" w:hanging="426"/>
        <w:rPr>
          <w:b/>
        </w:rPr>
      </w:pPr>
      <w:r w:rsidRPr="00CD224F">
        <w:rPr>
          <w:b/>
        </w:rPr>
        <w:t>PROCESS FOR SPENDING THE NEIGHBOURHOOD PORTION</w:t>
      </w:r>
    </w:p>
    <w:p w:rsidR="00CD224F" w:rsidRPr="00CD224F" w:rsidRDefault="00CD224F" w:rsidP="00E03711">
      <w:pPr>
        <w:pStyle w:val="bParagraphtext"/>
        <w:numPr>
          <w:ilvl w:val="0"/>
          <w:numId w:val="0"/>
        </w:numPr>
        <w:ind w:left="426" w:hanging="426"/>
        <w:rPr>
          <w:b/>
        </w:rPr>
      </w:pPr>
      <w:r w:rsidRPr="00CD224F">
        <w:rPr>
          <w:b/>
        </w:rPr>
        <w:t>Areas with a Parish Council</w:t>
      </w:r>
    </w:p>
    <w:p w:rsidR="00CD224F" w:rsidRPr="00CD224F" w:rsidRDefault="00281BC7" w:rsidP="00CD224F">
      <w:pPr>
        <w:pStyle w:val="bParagraphtext"/>
      </w:pPr>
      <w:r>
        <w:t xml:space="preserve">The process we follow is to </w:t>
      </w:r>
      <w:r w:rsidR="00CD224F" w:rsidRPr="00CD224F">
        <w:t xml:space="preserve">pass </w:t>
      </w:r>
      <w:r>
        <w:t>the Neighbourhood Portion</w:t>
      </w:r>
      <w:r w:rsidR="00F4659A">
        <w:t xml:space="preserve"> </w:t>
      </w:r>
      <w:r w:rsidR="00CD224F" w:rsidRPr="00CD224F">
        <w:t xml:space="preserve">directly to </w:t>
      </w:r>
      <w:r w:rsidR="00B82B7A">
        <w:t>p</w:t>
      </w:r>
      <w:r w:rsidR="00CD224F" w:rsidRPr="00CD224F">
        <w:t xml:space="preserve">arish </w:t>
      </w:r>
      <w:r w:rsidR="00B82B7A">
        <w:t>c</w:t>
      </w:r>
      <w:r w:rsidR="00CD224F" w:rsidRPr="00CD224F">
        <w:t>ouncils twice a year (end of April for payments made between 1 October and 31 March and end of October for payments made between 1</w:t>
      </w:r>
      <w:r w:rsidR="00E24748">
        <w:t xml:space="preserve"> April and</w:t>
      </w:r>
      <w:r w:rsidR="00CD224F" w:rsidRPr="00CD224F">
        <w:t xml:space="preserve"> 30 September).</w:t>
      </w:r>
    </w:p>
    <w:p w:rsidR="00F4659A" w:rsidRDefault="00F4659A" w:rsidP="00F4659A">
      <w:pPr>
        <w:pStyle w:val="bParagraphtext"/>
      </w:pPr>
      <w:r>
        <w:lastRenderedPageBreak/>
        <w:t>T</w:t>
      </w:r>
      <w:r w:rsidR="009B62BF">
        <w:t>here a</w:t>
      </w:r>
      <w:r>
        <w:t>r</w:t>
      </w:r>
      <w:r w:rsidR="009B62BF">
        <w:t>e provisions for the recovery of CIL monies by the City Council</w:t>
      </w:r>
      <w:r w:rsidRPr="00F4659A">
        <w:t xml:space="preserve"> </w:t>
      </w:r>
      <w:r>
        <w:t>i</w:t>
      </w:r>
      <w:r w:rsidRPr="00F4659A">
        <w:t>f parish councils do not spend the C</w:t>
      </w:r>
      <w:r>
        <w:t>IL receipts as set out in paragraph 8 within 5 years of receiving it.</w:t>
      </w:r>
    </w:p>
    <w:p w:rsidR="00CD224F" w:rsidRPr="00CD224F" w:rsidRDefault="00F4659A" w:rsidP="00F4659A">
      <w:pPr>
        <w:pStyle w:val="bParagraphtext"/>
      </w:pPr>
      <w:r w:rsidRPr="00F4659A">
        <w:t xml:space="preserve">The Planning Practice Guidance recommends that the City Council </w:t>
      </w:r>
      <w:r>
        <w:t xml:space="preserve">and the receiving parish </w:t>
      </w:r>
      <w:r w:rsidR="00296DEF">
        <w:t>c</w:t>
      </w:r>
      <w:r>
        <w:t xml:space="preserve">ouncil </w:t>
      </w:r>
      <w:r w:rsidRPr="00F4659A">
        <w:t>should engage</w:t>
      </w:r>
      <w:r w:rsidR="00296DEF">
        <w:t xml:space="preserve"> and work closely to</w:t>
      </w:r>
      <w:r w:rsidRPr="00F4659A">
        <w:t xml:space="preserve"> agree with them how best to spend </w:t>
      </w:r>
      <w:r w:rsidR="00296DEF">
        <w:t>these funds</w:t>
      </w:r>
      <w:r w:rsidRPr="00F4659A">
        <w:t>. The use of neighbourhood funds should therefore match priorities expressed by local communities, including priorities set out formally in neighbourhood plans</w:t>
      </w:r>
    </w:p>
    <w:p w:rsidR="00CD224F" w:rsidRPr="00CD224F" w:rsidRDefault="00CD224F" w:rsidP="00E03711">
      <w:pPr>
        <w:pStyle w:val="bParagraphtext"/>
        <w:numPr>
          <w:ilvl w:val="0"/>
          <w:numId w:val="0"/>
        </w:numPr>
      </w:pPr>
    </w:p>
    <w:p w:rsidR="00CD224F" w:rsidRPr="00CD224F" w:rsidRDefault="00CD224F" w:rsidP="00E03711">
      <w:pPr>
        <w:pStyle w:val="bParagraphtext"/>
        <w:numPr>
          <w:ilvl w:val="0"/>
          <w:numId w:val="0"/>
        </w:numPr>
        <w:ind w:left="426" w:hanging="426"/>
      </w:pPr>
      <w:r w:rsidRPr="00CD224F">
        <w:rPr>
          <w:b/>
        </w:rPr>
        <w:t xml:space="preserve">Areas not covered by a Parish Council </w:t>
      </w:r>
    </w:p>
    <w:p w:rsidR="00E03711" w:rsidRPr="001356F1" w:rsidRDefault="00CD224F" w:rsidP="00CD1F3C">
      <w:pPr>
        <w:pStyle w:val="ListParagraph"/>
      </w:pPr>
      <w:r w:rsidRPr="00CD224F">
        <w:t xml:space="preserve">In areas without </w:t>
      </w:r>
      <w:r w:rsidR="00B82B7A">
        <w:t>p</w:t>
      </w:r>
      <w:r w:rsidRPr="00CD224F">
        <w:t xml:space="preserve">arish </w:t>
      </w:r>
      <w:r w:rsidR="00B82B7A">
        <w:t>c</w:t>
      </w:r>
      <w:r w:rsidRPr="00CD224F">
        <w:t xml:space="preserve">ouncils </w:t>
      </w:r>
      <w:r w:rsidR="00372D4A">
        <w:t xml:space="preserve">it </w:t>
      </w:r>
      <w:r w:rsidR="008C77AB">
        <w:t xml:space="preserve">is </w:t>
      </w:r>
      <w:r w:rsidR="00370FA9">
        <w:t>recommended</w:t>
      </w:r>
      <w:r w:rsidR="00372D4A">
        <w:t xml:space="preserve"> that</w:t>
      </w:r>
      <w:r w:rsidRPr="00CD224F">
        <w:t xml:space="preserve"> </w:t>
      </w:r>
      <w:r w:rsidR="00372D4A" w:rsidRPr="00372D4A">
        <w:t xml:space="preserve">up to £5,000 per </w:t>
      </w:r>
      <w:r w:rsidR="008C77AB">
        <w:t>w</w:t>
      </w:r>
      <w:r w:rsidR="00372D4A" w:rsidRPr="00372D4A">
        <w:t>ard of the Neighbourhoo</w:t>
      </w:r>
      <w:r w:rsidR="008C77AB">
        <w:t>d Portion is added to the ward m</w:t>
      </w:r>
      <w:r w:rsidR="00372D4A" w:rsidRPr="00372D4A">
        <w:t>embers</w:t>
      </w:r>
      <w:r w:rsidR="008C77AB">
        <w:t>’</w:t>
      </w:r>
      <w:r w:rsidR="00372D4A" w:rsidRPr="00372D4A">
        <w:t xml:space="preserve"> budgets annually (i.e. £2,500 each).</w:t>
      </w:r>
      <w:r w:rsidR="008C77AB">
        <w:t xml:space="preserve">  If the amount of the Neighbourhood Portion is insufficient to fully fund that sum it would be proportionally reduced so that the total amount </w:t>
      </w:r>
      <w:r w:rsidR="001C459A">
        <w:t>added</w:t>
      </w:r>
      <w:r w:rsidR="008C77AB">
        <w:t xml:space="preserve"> matches the Neighbourhood Portion.</w:t>
      </w:r>
      <w:r w:rsidR="00372D4A" w:rsidRPr="00372D4A">
        <w:t xml:space="preserve">  Ward members will</w:t>
      </w:r>
      <w:r w:rsidR="001C459A">
        <w:t xml:space="preserve"> be responsible for</w:t>
      </w:r>
      <w:r w:rsidR="00372D4A" w:rsidRPr="00372D4A">
        <w:t xml:space="preserve"> spend</w:t>
      </w:r>
      <w:r w:rsidR="001C459A">
        <w:t>ing</w:t>
      </w:r>
      <w:r w:rsidR="00372D4A" w:rsidRPr="00372D4A">
        <w:t xml:space="preserve"> the money appropriately (in line with the requirements above) – and are able to pass the money back into a greater pool of money for bigger infrastructure projects.</w:t>
      </w:r>
      <w:r w:rsidR="001C459A">
        <w:t xml:space="preserve">  The existing procedures that apply to the expenditure of the existing ward members’ budgets would apply.</w:t>
      </w:r>
      <w:r w:rsidR="00372D4A">
        <w:t xml:space="preserve"> </w:t>
      </w:r>
      <w:r w:rsidR="001C459A">
        <w:t xml:space="preserve">Any part of the </w:t>
      </w:r>
      <w:r w:rsidR="00372D4A" w:rsidRPr="00372D4A">
        <w:t xml:space="preserve">Neighbourhood Portion </w:t>
      </w:r>
      <w:r w:rsidR="001C459A">
        <w:t xml:space="preserve">that remains unallocated would be available for expenditure by the Council on the wider range of purposes listed in paragraph 5 above. </w:t>
      </w:r>
    </w:p>
    <w:p w:rsidR="0040736F" w:rsidRPr="001356F1" w:rsidRDefault="002329CF" w:rsidP="004A6D2F">
      <w:pPr>
        <w:pStyle w:val="Heading1"/>
      </w:pPr>
      <w:r w:rsidRPr="001356F1">
        <w:t>Financial implications</w:t>
      </w:r>
    </w:p>
    <w:p w:rsidR="00651C7A" w:rsidRDefault="00651C7A" w:rsidP="00B42C57">
      <w:pPr>
        <w:pStyle w:val="ListParagraph"/>
      </w:pPr>
      <w:r w:rsidRPr="00673530">
        <w:t xml:space="preserve">The financial implications of this report is that the Council will continue in its commitment to notify, discuss and work in partnership with local community groups, Ward Councillors and </w:t>
      </w:r>
      <w:r w:rsidR="00B82B7A">
        <w:t>p</w:t>
      </w:r>
      <w:r w:rsidRPr="00673530">
        <w:t xml:space="preserve">arish </w:t>
      </w:r>
      <w:r w:rsidR="00B82B7A">
        <w:t>c</w:t>
      </w:r>
      <w:r w:rsidRPr="00673530">
        <w:t>ouncils in the payment and subsequent use of Neighbourhood CIL</w:t>
      </w:r>
      <w:r w:rsidR="00B42C57">
        <w:t xml:space="preserve">. </w:t>
      </w:r>
      <w:r w:rsidR="00B42C57" w:rsidRPr="00B42C57">
        <w:t xml:space="preserve"> </w:t>
      </w:r>
      <w:r w:rsidR="00B42C57" w:rsidRPr="00B42C57">
        <w:rPr>
          <w:color w:val="auto"/>
        </w:rPr>
        <w:t>Budgets will be allocated each April based on the actual amount of CIL collected in the previous financial period.</w:t>
      </w:r>
    </w:p>
    <w:p w:rsidR="004F7B00" w:rsidRPr="004F7B00" w:rsidRDefault="004F7B00" w:rsidP="004F7B00">
      <w:pPr>
        <w:pStyle w:val="ListParagraph"/>
        <w:rPr>
          <w:color w:val="auto"/>
        </w:rPr>
      </w:pPr>
      <w:r w:rsidRPr="004F7B00">
        <w:rPr>
          <w:color w:val="auto"/>
        </w:rPr>
        <w:t>The Parishes of B</w:t>
      </w:r>
      <w:r>
        <w:rPr>
          <w:color w:val="auto"/>
        </w:rPr>
        <w:t>lackbird Leys</w:t>
      </w:r>
      <w:r w:rsidRPr="004F7B00">
        <w:rPr>
          <w:color w:val="auto"/>
        </w:rPr>
        <w:t xml:space="preserve"> and Littlemore are essentially wholly </w:t>
      </w:r>
      <w:proofErr w:type="spellStart"/>
      <w:r w:rsidRPr="004F7B00">
        <w:rPr>
          <w:color w:val="auto"/>
        </w:rPr>
        <w:t>parished</w:t>
      </w:r>
      <w:proofErr w:type="spellEnd"/>
      <w:r w:rsidRPr="004F7B00">
        <w:rPr>
          <w:color w:val="auto"/>
        </w:rPr>
        <w:t>, so would not get the £5</w:t>
      </w:r>
      <w:r w:rsidR="00CD1F3C">
        <w:rPr>
          <w:color w:val="auto"/>
        </w:rPr>
        <w:t>,000</w:t>
      </w:r>
      <w:r w:rsidRPr="004F7B00">
        <w:rPr>
          <w:color w:val="auto"/>
        </w:rPr>
        <w:t xml:space="preserve">. The Barton and </w:t>
      </w:r>
      <w:proofErr w:type="spellStart"/>
      <w:r w:rsidRPr="004F7B00">
        <w:rPr>
          <w:color w:val="auto"/>
        </w:rPr>
        <w:t>Sandhills</w:t>
      </w:r>
      <w:proofErr w:type="spellEnd"/>
      <w:r>
        <w:rPr>
          <w:color w:val="auto"/>
        </w:rPr>
        <w:t xml:space="preserve"> is a</w:t>
      </w:r>
      <w:r w:rsidRPr="004F7B00">
        <w:rPr>
          <w:color w:val="auto"/>
        </w:rPr>
        <w:t xml:space="preserve"> very small </w:t>
      </w:r>
      <w:proofErr w:type="spellStart"/>
      <w:r w:rsidRPr="004F7B00">
        <w:rPr>
          <w:color w:val="auto"/>
        </w:rPr>
        <w:t>parished</w:t>
      </w:r>
      <w:proofErr w:type="spellEnd"/>
      <w:r w:rsidRPr="004F7B00">
        <w:rPr>
          <w:color w:val="auto"/>
        </w:rPr>
        <w:t xml:space="preserve"> areas, so will get the £5</w:t>
      </w:r>
      <w:r w:rsidR="00CD1F3C">
        <w:rPr>
          <w:color w:val="auto"/>
        </w:rPr>
        <w:t>,000</w:t>
      </w:r>
      <w:r w:rsidRPr="004F7B00">
        <w:rPr>
          <w:color w:val="auto"/>
        </w:rPr>
        <w:t xml:space="preserve">. Marston Ward and Quarry and </w:t>
      </w:r>
      <w:proofErr w:type="spellStart"/>
      <w:r w:rsidRPr="004F7B00">
        <w:rPr>
          <w:color w:val="auto"/>
        </w:rPr>
        <w:t>Risinghurst</w:t>
      </w:r>
      <w:proofErr w:type="spellEnd"/>
      <w:r w:rsidRPr="004F7B00">
        <w:rPr>
          <w:color w:val="auto"/>
        </w:rPr>
        <w:t xml:space="preserve"> Ward are about 50:50, so would receive the £5,000. </w:t>
      </w:r>
    </w:p>
    <w:p w:rsidR="004F7B00" w:rsidRPr="004F7B00" w:rsidRDefault="004F7B00" w:rsidP="004F7B00">
      <w:pPr>
        <w:pStyle w:val="ListParagraph"/>
        <w:rPr>
          <w:color w:val="auto"/>
        </w:rPr>
      </w:pPr>
      <w:r w:rsidRPr="004F7B00">
        <w:rPr>
          <w:color w:val="auto"/>
        </w:rPr>
        <w:t xml:space="preserve">On this basis there will be 21 </w:t>
      </w:r>
      <w:proofErr w:type="spellStart"/>
      <w:r w:rsidRPr="004F7B00">
        <w:rPr>
          <w:color w:val="auto"/>
        </w:rPr>
        <w:t>wards</w:t>
      </w:r>
      <w:proofErr w:type="spellEnd"/>
      <w:r w:rsidRPr="004F7B00">
        <w:rPr>
          <w:color w:val="auto"/>
        </w:rPr>
        <w:t xml:space="preserve"> </w:t>
      </w:r>
      <w:r w:rsidR="00CD1F3C" w:rsidRPr="004F7B00">
        <w:rPr>
          <w:color w:val="auto"/>
        </w:rPr>
        <w:t>receiving</w:t>
      </w:r>
      <w:r w:rsidRPr="004F7B00">
        <w:rPr>
          <w:color w:val="auto"/>
        </w:rPr>
        <w:t xml:space="preserve"> the £5,000, meaning a total of £105,000 added to Member’s ward budgets from the overall CIL funds up to the end of 2015/16, leaving approximately £3</w:t>
      </w:r>
      <w:r w:rsidR="00425270">
        <w:rPr>
          <w:color w:val="auto"/>
        </w:rPr>
        <w:t>67,572</w:t>
      </w:r>
      <w:r w:rsidR="00B42C57">
        <w:rPr>
          <w:color w:val="auto"/>
        </w:rPr>
        <w:t>.00</w:t>
      </w:r>
      <w:r w:rsidRPr="004F7B00">
        <w:rPr>
          <w:color w:val="auto"/>
        </w:rPr>
        <w:t xml:space="preserve"> of the unparished neighbourhood portion to consult on as per the Government guidance.</w:t>
      </w:r>
    </w:p>
    <w:p w:rsidR="00673530" w:rsidRDefault="00673530" w:rsidP="00673530">
      <w:pPr>
        <w:pStyle w:val="ListParagraph"/>
      </w:pPr>
      <w:r w:rsidRPr="00673530">
        <w:t xml:space="preserve">Since the commencement of the Community Infrastructure Levy receipts process being introduced in Oxford a breakdown of the overall total CIL received by area and the related Neighbourhood portion (up to </w:t>
      </w:r>
      <w:r w:rsidR="004F7B00">
        <w:t>31</w:t>
      </w:r>
      <w:r w:rsidR="004F7B00" w:rsidRPr="004F7B00">
        <w:rPr>
          <w:vertAlign w:val="superscript"/>
        </w:rPr>
        <w:t xml:space="preserve"> </w:t>
      </w:r>
      <w:r w:rsidR="004F7B00">
        <w:t xml:space="preserve">March </w:t>
      </w:r>
      <w:r w:rsidRPr="00673530">
        <w:t>2016) is as follows:</w:t>
      </w:r>
    </w:p>
    <w:p w:rsidR="00043FD6" w:rsidRPr="00673530" w:rsidRDefault="00043FD6" w:rsidP="00043FD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2060"/>
        <w:gridCol w:w="2132"/>
        <w:gridCol w:w="2408"/>
      </w:tblGrid>
      <w:tr w:rsidR="00E751BB" w:rsidTr="00ED6F02">
        <w:tc>
          <w:tcPr>
            <w:tcW w:w="2554" w:type="dxa"/>
            <w:shd w:val="clear" w:color="auto" w:fill="auto"/>
          </w:tcPr>
          <w:p w:rsidR="00E751BB" w:rsidRPr="00ED6F02" w:rsidRDefault="00E751BB" w:rsidP="00ED6F02">
            <w:pPr>
              <w:pStyle w:val="ListParagraph"/>
              <w:numPr>
                <w:ilvl w:val="0"/>
                <w:numId w:val="0"/>
              </w:numPr>
              <w:jc w:val="center"/>
              <w:rPr>
                <w:b/>
              </w:rPr>
            </w:pPr>
            <w:r w:rsidRPr="00ED6F02">
              <w:rPr>
                <w:b/>
              </w:rPr>
              <w:t>Area</w:t>
            </w:r>
          </w:p>
        </w:tc>
        <w:tc>
          <w:tcPr>
            <w:tcW w:w="2060" w:type="dxa"/>
            <w:shd w:val="clear" w:color="auto" w:fill="auto"/>
          </w:tcPr>
          <w:p w:rsidR="00E751BB" w:rsidRPr="00ED6F02" w:rsidRDefault="00E751BB" w:rsidP="00ED6F02">
            <w:pPr>
              <w:pStyle w:val="ListParagraph"/>
              <w:numPr>
                <w:ilvl w:val="0"/>
                <w:numId w:val="0"/>
              </w:numPr>
              <w:jc w:val="center"/>
              <w:rPr>
                <w:b/>
              </w:rPr>
            </w:pPr>
            <w:r w:rsidRPr="00ED6F02">
              <w:rPr>
                <w:b/>
              </w:rPr>
              <w:t>Amount Received</w:t>
            </w:r>
          </w:p>
        </w:tc>
        <w:tc>
          <w:tcPr>
            <w:tcW w:w="2132" w:type="dxa"/>
            <w:shd w:val="clear" w:color="auto" w:fill="auto"/>
          </w:tcPr>
          <w:p w:rsidR="00E751BB" w:rsidRPr="00ED6F02" w:rsidRDefault="00E751BB" w:rsidP="00ED6F02">
            <w:pPr>
              <w:pStyle w:val="ListParagraph"/>
              <w:numPr>
                <w:ilvl w:val="0"/>
                <w:numId w:val="0"/>
              </w:numPr>
              <w:jc w:val="center"/>
              <w:rPr>
                <w:b/>
              </w:rPr>
            </w:pPr>
            <w:r w:rsidRPr="00ED6F02">
              <w:rPr>
                <w:b/>
              </w:rPr>
              <w:t>Neighbourhood Portion (15%)</w:t>
            </w:r>
          </w:p>
        </w:tc>
        <w:tc>
          <w:tcPr>
            <w:tcW w:w="2408" w:type="dxa"/>
            <w:shd w:val="clear" w:color="auto" w:fill="auto"/>
          </w:tcPr>
          <w:p w:rsidR="00E751BB" w:rsidRPr="00ED6F02" w:rsidRDefault="00E751BB" w:rsidP="00ED6F02">
            <w:pPr>
              <w:pStyle w:val="ListParagraph"/>
              <w:numPr>
                <w:ilvl w:val="0"/>
                <w:numId w:val="0"/>
              </w:numPr>
              <w:jc w:val="center"/>
              <w:rPr>
                <w:b/>
              </w:rPr>
            </w:pPr>
            <w:r w:rsidRPr="00ED6F02">
              <w:rPr>
                <w:b/>
              </w:rPr>
              <w:t>Amount Already  Paid to Parish Council</w:t>
            </w:r>
          </w:p>
        </w:tc>
      </w:tr>
      <w:tr w:rsidR="00705D0B" w:rsidTr="00ED6F02">
        <w:tc>
          <w:tcPr>
            <w:tcW w:w="9154" w:type="dxa"/>
            <w:gridSpan w:val="4"/>
            <w:shd w:val="clear" w:color="auto" w:fill="DBE5F1"/>
          </w:tcPr>
          <w:p w:rsidR="00705D0B" w:rsidRDefault="00705D0B" w:rsidP="00ED6F02">
            <w:pPr>
              <w:pStyle w:val="ListParagraph"/>
              <w:numPr>
                <w:ilvl w:val="0"/>
                <w:numId w:val="0"/>
              </w:numPr>
            </w:pPr>
            <w:r w:rsidRPr="00ED6F02">
              <w:rPr>
                <w:b/>
              </w:rPr>
              <w:t>PARISH COUNCILS</w:t>
            </w:r>
          </w:p>
        </w:tc>
      </w:tr>
      <w:tr w:rsidR="00E751BB" w:rsidTr="00ED6F02">
        <w:tc>
          <w:tcPr>
            <w:tcW w:w="2554" w:type="dxa"/>
            <w:shd w:val="clear" w:color="auto" w:fill="auto"/>
          </w:tcPr>
          <w:p w:rsidR="00E751BB" w:rsidRDefault="00E751BB" w:rsidP="00ED6F02">
            <w:pPr>
              <w:pStyle w:val="ListParagraph"/>
              <w:numPr>
                <w:ilvl w:val="0"/>
                <w:numId w:val="0"/>
              </w:numPr>
            </w:pPr>
            <w:r>
              <w:t xml:space="preserve">Blackbird Leys Parish </w:t>
            </w:r>
            <w:r>
              <w:lastRenderedPageBreak/>
              <w:t>Council</w:t>
            </w:r>
          </w:p>
        </w:tc>
        <w:tc>
          <w:tcPr>
            <w:tcW w:w="2060" w:type="dxa"/>
            <w:shd w:val="clear" w:color="auto" w:fill="auto"/>
          </w:tcPr>
          <w:p w:rsidR="00E751BB" w:rsidRDefault="00E751BB" w:rsidP="00ED6F02">
            <w:pPr>
              <w:pStyle w:val="ListParagraph"/>
              <w:numPr>
                <w:ilvl w:val="0"/>
                <w:numId w:val="0"/>
              </w:numPr>
            </w:pPr>
            <w:r>
              <w:lastRenderedPageBreak/>
              <w:t>£141,531.60</w:t>
            </w:r>
          </w:p>
        </w:tc>
        <w:tc>
          <w:tcPr>
            <w:tcW w:w="2132" w:type="dxa"/>
            <w:shd w:val="clear" w:color="auto" w:fill="auto"/>
          </w:tcPr>
          <w:p w:rsidR="00E751BB" w:rsidRDefault="00C8497B" w:rsidP="00ED6F02">
            <w:pPr>
              <w:pStyle w:val="ListParagraph"/>
              <w:numPr>
                <w:ilvl w:val="0"/>
                <w:numId w:val="0"/>
              </w:numPr>
            </w:pPr>
            <w:r>
              <w:t>£21,229.74</w:t>
            </w:r>
          </w:p>
        </w:tc>
        <w:tc>
          <w:tcPr>
            <w:tcW w:w="2408" w:type="dxa"/>
            <w:shd w:val="clear" w:color="auto" w:fill="auto"/>
          </w:tcPr>
          <w:p w:rsidR="00E751BB" w:rsidRDefault="00C8497B" w:rsidP="00ED6F02">
            <w:pPr>
              <w:pStyle w:val="ListParagraph"/>
              <w:numPr>
                <w:ilvl w:val="0"/>
                <w:numId w:val="0"/>
              </w:numPr>
            </w:pPr>
            <w:r>
              <w:t>£18,988.50</w:t>
            </w:r>
          </w:p>
        </w:tc>
      </w:tr>
      <w:tr w:rsidR="00E751BB" w:rsidTr="00ED6F02">
        <w:tc>
          <w:tcPr>
            <w:tcW w:w="2554" w:type="dxa"/>
            <w:shd w:val="clear" w:color="auto" w:fill="auto"/>
          </w:tcPr>
          <w:p w:rsidR="00E751BB" w:rsidRDefault="002B77FC" w:rsidP="00ED6F02">
            <w:pPr>
              <w:pStyle w:val="ListParagraph"/>
              <w:numPr>
                <w:ilvl w:val="0"/>
                <w:numId w:val="0"/>
              </w:numPr>
            </w:pPr>
            <w:r>
              <w:lastRenderedPageBreak/>
              <w:t>Littlemore Parish Council</w:t>
            </w:r>
          </w:p>
        </w:tc>
        <w:tc>
          <w:tcPr>
            <w:tcW w:w="2060" w:type="dxa"/>
            <w:shd w:val="clear" w:color="auto" w:fill="auto"/>
          </w:tcPr>
          <w:p w:rsidR="00E751BB" w:rsidRDefault="002B77FC" w:rsidP="00B8501D">
            <w:pPr>
              <w:pStyle w:val="ListParagraph"/>
              <w:numPr>
                <w:ilvl w:val="0"/>
                <w:numId w:val="0"/>
              </w:numPr>
            </w:pPr>
            <w:r>
              <w:t>£</w:t>
            </w:r>
            <w:r w:rsidR="00B8501D">
              <w:t>83,600.00</w:t>
            </w:r>
          </w:p>
        </w:tc>
        <w:tc>
          <w:tcPr>
            <w:tcW w:w="2132" w:type="dxa"/>
            <w:shd w:val="clear" w:color="auto" w:fill="auto"/>
          </w:tcPr>
          <w:p w:rsidR="00E751BB" w:rsidRDefault="002B77FC" w:rsidP="00B8501D">
            <w:pPr>
              <w:pStyle w:val="ListParagraph"/>
              <w:numPr>
                <w:ilvl w:val="0"/>
                <w:numId w:val="0"/>
              </w:numPr>
            </w:pPr>
            <w:r>
              <w:t>£</w:t>
            </w:r>
            <w:r w:rsidR="00B8501D">
              <w:t>12,540.00</w:t>
            </w:r>
          </w:p>
        </w:tc>
        <w:tc>
          <w:tcPr>
            <w:tcW w:w="2408" w:type="dxa"/>
            <w:shd w:val="clear" w:color="auto" w:fill="auto"/>
          </w:tcPr>
          <w:p w:rsidR="00E751BB" w:rsidRDefault="002B77FC" w:rsidP="00B8501D">
            <w:pPr>
              <w:pStyle w:val="ListParagraph"/>
              <w:numPr>
                <w:ilvl w:val="0"/>
                <w:numId w:val="0"/>
              </w:numPr>
            </w:pPr>
            <w:r>
              <w:t>£</w:t>
            </w:r>
            <w:r w:rsidR="00B8501D">
              <w:t>12,540.00</w:t>
            </w:r>
          </w:p>
        </w:tc>
      </w:tr>
      <w:tr w:rsidR="00E751BB" w:rsidTr="00ED6F02">
        <w:tc>
          <w:tcPr>
            <w:tcW w:w="2554" w:type="dxa"/>
            <w:shd w:val="clear" w:color="auto" w:fill="auto"/>
          </w:tcPr>
          <w:p w:rsidR="00E751BB" w:rsidRDefault="002B77FC" w:rsidP="00ED6F02">
            <w:pPr>
              <w:pStyle w:val="ListParagraph"/>
              <w:numPr>
                <w:ilvl w:val="0"/>
                <w:numId w:val="0"/>
              </w:numPr>
            </w:pPr>
            <w:r>
              <w:t>Old Marston Parish Council</w:t>
            </w:r>
          </w:p>
        </w:tc>
        <w:tc>
          <w:tcPr>
            <w:tcW w:w="2060" w:type="dxa"/>
            <w:shd w:val="clear" w:color="auto" w:fill="auto"/>
          </w:tcPr>
          <w:p w:rsidR="00E751BB" w:rsidRDefault="002B77FC" w:rsidP="00ED6F02">
            <w:pPr>
              <w:pStyle w:val="ListParagraph"/>
              <w:numPr>
                <w:ilvl w:val="0"/>
                <w:numId w:val="0"/>
              </w:numPr>
            </w:pPr>
            <w:r>
              <w:t>£40,384.00</w:t>
            </w:r>
          </w:p>
        </w:tc>
        <w:tc>
          <w:tcPr>
            <w:tcW w:w="2132" w:type="dxa"/>
            <w:shd w:val="clear" w:color="auto" w:fill="auto"/>
          </w:tcPr>
          <w:p w:rsidR="00E751BB" w:rsidRDefault="002B77FC" w:rsidP="00ED6F02">
            <w:pPr>
              <w:pStyle w:val="ListParagraph"/>
              <w:numPr>
                <w:ilvl w:val="0"/>
                <w:numId w:val="0"/>
              </w:numPr>
            </w:pPr>
            <w:r>
              <w:t>£6,057.60</w:t>
            </w:r>
          </w:p>
        </w:tc>
        <w:tc>
          <w:tcPr>
            <w:tcW w:w="2408" w:type="dxa"/>
            <w:shd w:val="clear" w:color="auto" w:fill="auto"/>
          </w:tcPr>
          <w:p w:rsidR="00E751BB" w:rsidRDefault="002B77FC" w:rsidP="00ED6F02">
            <w:pPr>
              <w:pStyle w:val="ListParagraph"/>
              <w:numPr>
                <w:ilvl w:val="0"/>
                <w:numId w:val="0"/>
              </w:numPr>
            </w:pPr>
            <w:r>
              <w:t>£</w:t>
            </w:r>
            <w:r w:rsidR="00705D0B">
              <w:t>2,307.60</w:t>
            </w:r>
          </w:p>
        </w:tc>
      </w:tr>
      <w:tr w:rsidR="00E751BB" w:rsidTr="00ED6F02">
        <w:tc>
          <w:tcPr>
            <w:tcW w:w="2554" w:type="dxa"/>
            <w:shd w:val="clear" w:color="auto" w:fill="auto"/>
          </w:tcPr>
          <w:p w:rsidR="00E751BB" w:rsidRDefault="00705D0B" w:rsidP="00ED6F02">
            <w:pPr>
              <w:pStyle w:val="ListParagraph"/>
              <w:numPr>
                <w:ilvl w:val="0"/>
                <w:numId w:val="0"/>
              </w:numPr>
            </w:pPr>
            <w:proofErr w:type="spellStart"/>
            <w:r>
              <w:t>Risinghurst</w:t>
            </w:r>
            <w:proofErr w:type="spellEnd"/>
            <w:r>
              <w:t xml:space="preserve"> and </w:t>
            </w:r>
            <w:proofErr w:type="spellStart"/>
            <w:r>
              <w:t>Sandhills</w:t>
            </w:r>
            <w:proofErr w:type="spellEnd"/>
            <w:r>
              <w:t xml:space="preserve"> Parish Council</w:t>
            </w:r>
          </w:p>
        </w:tc>
        <w:tc>
          <w:tcPr>
            <w:tcW w:w="2060" w:type="dxa"/>
            <w:shd w:val="clear" w:color="auto" w:fill="auto"/>
          </w:tcPr>
          <w:p w:rsidR="00E751BB" w:rsidRDefault="004907BC" w:rsidP="00B8501D">
            <w:pPr>
              <w:pStyle w:val="ListParagraph"/>
              <w:numPr>
                <w:ilvl w:val="0"/>
                <w:numId w:val="0"/>
              </w:numPr>
            </w:pPr>
            <w:r>
              <w:t>£</w:t>
            </w:r>
            <w:r w:rsidR="00B8501D">
              <w:t>24</w:t>
            </w:r>
            <w:r w:rsidR="00CD1F3C">
              <w:t>,</w:t>
            </w:r>
            <w:r w:rsidR="00B8501D">
              <w:t>260.20</w:t>
            </w:r>
          </w:p>
        </w:tc>
        <w:tc>
          <w:tcPr>
            <w:tcW w:w="2132" w:type="dxa"/>
            <w:shd w:val="clear" w:color="auto" w:fill="auto"/>
          </w:tcPr>
          <w:p w:rsidR="00E751BB" w:rsidRDefault="00BA0AD8" w:rsidP="00B8501D">
            <w:pPr>
              <w:pStyle w:val="ListParagraph"/>
              <w:numPr>
                <w:ilvl w:val="0"/>
                <w:numId w:val="0"/>
              </w:numPr>
            </w:pPr>
            <w:r>
              <w:t>£</w:t>
            </w:r>
            <w:r w:rsidR="00B8501D">
              <w:t>3</w:t>
            </w:r>
            <w:r w:rsidR="00CD1F3C">
              <w:t>,</w:t>
            </w:r>
            <w:r w:rsidR="00B8501D">
              <w:t>639.03</w:t>
            </w:r>
          </w:p>
        </w:tc>
        <w:tc>
          <w:tcPr>
            <w:tcW w:w="2408" w:type="dxa"/>
            <w:shd w:val="clear" w:color="auto" w:fill="auto"/>
          </w:tcPr>
          <w:p w:rsidR="00E751BB" w:rsidRDefault="00E751BB" w:rsidP="00ED6F02">
            <w:pPr>
              <w:pStyle w:val="ListParagraph"/>
              <w:numPr>
                <w:ilvl w:val="0"/>
                <w:numId w:val="0"/>
              </w:numPr>
            </w:pPr>
          </w:p>
        </w:tc>
      </w:tr>
      <w:tr w:rsidR="00705D0B" w:rsidTr="00ED6F02">
        <w:tc>
          <w:tcPr>
            <w:tcW w:w="9154" w:type="dxa"/>
            <w:gridSpan w:val="4"/>
            <w:shd w:val="clear" w:color="auto" w:fill="DBE5F1"/>
          </w:tcPr>
          <w:p w:rsidR="00705D0B" w:rsidRPr="00ED6F02" w:rsidRDefault="001C459A" w:rsidP="00ED6F02">
            <w:pPr>
              <w:pStyle w:val="ListParagraph"/>
              <w:numPr>
                <w:ilvl w:val="0"/>
                <w:numId w:val="0"/>
              </w:numPr>
              <w:rPr>
                <w:b/>
              </w:rPr>
            </w:pPr>
            <w:r>
              <w:rPr>
                <w:b/>
              </w:rPr>
              <w:t>NON PARISHED PART OF CITY</w:t>
            </w:r>
          </w:p>
        </w:tc>
      </w:tr>
      <w:tr w:rsidR="00E751BB" w:rsidTr="00ED6F02">
        <w:tc>
          <w:tcPr>
            <w:tcW w:w="2554" w:type="dxa"/>
            <w:shd w:val="clear" w:color="auto" w:fill="auto"/>
          </w:tcPr>
          <w:p w:rsidR="00E751BB" w:rsidRDefault="00542453" w:rsidP="00ED6F02">
            <w:pPr>
              <w:pStyle w:val="ListParagraph"/>
              <w:numPr>
                <w:ilvl w:val="0"/>
                <w:numId w:val="0"/>
              </w:numPr>
            </w:pPr>
            <w:r>
              <w:t xml:space="preserve"> Rest of City</w:t>
            </w:r>
            <w:r w:rsidR="00872867">
              <w:t xml:space="preserve"> – Barton &amp; </w:t>
            </w:r>
            <w:proofErr w:type="spellStart"/>
            <w:r w:rsidR="00872867">
              <w:t>Sandhills</w:t>
            </w:r>
            <w:proofErr w:type="spellEnd"/>
            <w:r w:rsidR="00872867">
              <w:t xml:space="preserve">, Carfax, Churchill, </w:t>
            </w:r>
            <w:proofErr w:type="spellStart"/>
            <w:r w:rsidR="00872867">
              <w:t>Cowley</w:t>
            </w:r>
            <w:proofErr w:type="spellEnd"/>
            <w:r w:rsidR="00872867">
              <w:t xml:space="preserve">, </w:t>
            </w:r>
            <w:proofErr w:type="spellStart"/>
            <w:r w:rsidR="00872867">
              <w:t>Cowley</w:t>
            </w:r>
            <w:proofErr w:type="spellEnd"/>
            <w:r w:rsidR="00872867">
              <w:t xml:space="preserve"> Marsh, </w:t>
            </w:r>
            <w:proofErr w:type="spellStart"/>
            <w:r w:rsidR="00872867">
              <w:t>Headington</w:t>
            </w:r>
            <w:proofErr w:type="spellEnd"/>
            <w:r w:rsidR="00872867">
              <w:t xml:space="preserve">, </w:t>
            </w:r>
            <w:proofErr w:type="spellStart"/>
            <w:r w:rsidR="00872867">
              <w:t>Headinton</w:t>
            </w:r>
            <w:proofErr w:type="spellEnd"/>
            <w:r w:rsidR="00872867">
              <w:t xml:space="preserve"> Hill &amp; Northway, </w:t>
            </w:r>
            <w:proofErr w:type="spellStart"/>
            <w:r w:rsidR="00872867">
              <w:t>Hinksey</w:t>
            </w:r>
            <w:proofErr w:type="spellEnd"/>
            <w:r w:rsidR="00872867">
              <w:t xml:space="preserve"> Park, Holywell, </w:t>
            </w:r>
            <w:proofErr w:type="spellStart"/>
            <w:r w:rsidR="00872867">
              <w:t>Iffley</w:t>
            </w:r>
            <w:proofErr w:type="spellEnd"/>
            <w:r w:rsidR="00872867">
              <w:t xml:space="preserve"> </w:t>
            </w:r>
            <w:proofErr w:type="spellStart"/>
            <w:r w:rsidR="00872867">
              <w:t>Fiels</w:t>
            </w:r>
            <w:proofErr w:type="spellEnd"/>
            <w:r w:rsidR="00872867">
              <w:t xml:space="preserve">, Jericho &amp; </w:t>
            </w:r>
            <w:proofErr w:type="spellStart"/>
            <w:r w:rsidR="00872867">
              <w:t>Osney</w:t>
            </w:r>
            <w:proofErr w:type="spellEnd"/>
            <w:r w:rsidR="00872867">
              <w:t xml:space="preserve">, Lye Valley, Marston, North, Quarry &amp; </w:t>
            </w:r>
            <w:proofErr w:type="spellStart"/>
            <w:r w:rsidR="00872867">
              <w:t>Risinghurst</w:t>
            </w:r>
            <w:proofErr w:type="spellEnd"/>
            <w:r w:rsidR="00872867">
              <w:t xml:space="preserve">, Rose Hill &amp; </w:t>
            </w:r>
            <w:proofErr w:type="spellStart"/>
            <w:r w:rsidR="00872867">
              <w:t>Iffley</w:t>
            </w:r>
            <w:proofErr w:type="spellEnd"/>
            <w:r w:rsidR="00872867">
              <w:t xml:space="preserve">, St Clements, St </w:t>
            </w:r>
            <w:proofErr w:type="spellStart"/>
            <w:r w:rsidR="00872867">
              <w:t>Matgarets</w:t>
            </w:r>
            <w:proofErr w:type="spellEnd"/>
            <w:r w:rsidR="00872867">
              <w:t xml:space="preserve">, St Marys, Summertown, </w:t>
            </w:r>
            <w:proofErr w:type="spellStart"/>
            <w:r w:rsidR="00872867">
              <w:t>Wolvercote</w:t>
            </w:r>
            <w:proofErr w:type="spellEnd"/>
          </w:p>
        </w:tc>
        <w:tc>
          <w:tcPr>
            <w:tcW w:w="2060" w:type="dxa"/>
            <w:shd w:val="clear" w:color="auto" w:fill="auto"/>
          </w:tcPr>
          <w:p w:rsidR="00E751BB" w:rsidRDefault="00705D0B" w:rsidP="00B8501D">
            <w:pPr>
              <w:pStyle w:val="ListParagraph"/>
              <w:numPr>
                <w:ilvl w:val="0"/>
                <w:numId w:val="0"/>
              </w:numPr>
            </w:pPr>
            <w:r>
              <w:t>£</w:t>
            </w:r>
            <w:r w:rsidR="00B8501D">
              <w:t>3,150,484.51</w:t>
            </w:r>
          </w:p>
        </w:tc>
        <w:tc>
          <w:tcPr>
            <w:tcW w:w="2132" w:type="dxa"/>
            <w:shd w:val="clear" w:color="auto" w:fill="auto"/>
          </w:tcPr>
          <w:p w:rsidR="00E751BB" w:rsidRDefault="00261FF1" w:rsidP="00425270">
            <w:pPr>
              <w:pStyle w:val="ListParagraph"/>
              <w:numPr>
                <w:ilvl w:val="0"/>
                <w:numId w:val="0"/>
              </w:numPr>
            </w:pPr>
            <w:r>
              <w:t>£</w:t>
            </w:r>
            <w:r w:rsidR="00425270">
              <w:t>472,572.67</w:t>
            </w:r>
          </w:p>
        </w:tc>
        <w:tc>
          <w:tcPr>
            <w:tcW w:w="2408" w:type="dxa"/>
            <w:shd w:val="clear" w:color="auto" w:fill="auto"/>
          </w:tcPr>
          <w:p w:rsidR="00E751BB" w:rsidRDefault="00E751BB" w:rsidP="00ED6F02">
            <w:pPr>
              <w:pStyle w:val="ListParagraph"/>
              <w:numPr>
                <w:ilvl w:val="0"/>
                <w:numId w:val="0"/>
              </w:numPr>
            </w:pPr>
          </w:p>
        </w:tc>
      </w:tr>
      <w:tr w:rsidR="00261FF1" w:rsidTr="00ED6F02">
        <w:tc>
          <w:tcPr>
            <w:tcW w:w="2554" w:type="dxa"/>
            <w:shd w:val="clear" w:color="auto" w:fill="DBE5F1"/>
          </w:tcPr>
          <w:p w:rsidR="00261FF1" w:rsidRPr="00ED6F02" w:rsidRDefault="00261FF1" w:rsidP="00ED6F02">
            <w:pPr>
              <w:pStyle w:val="ListParagraph"/>
              <w:numPr>
                <w:ilvl w:val="0"/>
                <w:numId w:val="0"/>
              </w:numPr>
              <w:rPr>
                <w:b/>
              </w:rPr>
            </w:pPr>
          </w:p>
        </w:tc>
        <w:tc>
          <w:tcPr>
            <w:tcW w:w="2060" w:type="dxa"/>
            <w:shd w:val="clear" w:color="auto" w:fill="DBE5F1"/>
          </w:tcPr>
          <w:p w:rsidR="00261FF1" w:rsidRPr="00ED6F02" w:rsidRDefault="00261FF1" w:rsidP="00ED6F02">
            <w:pPr>
              <w:pStyle w:val="ListParagraph"/>
              <w:numPr>
                <w:ilvl w:val="0"/>
                <w:numId w:val="0"/>
              </w:numPr>
              <w:rPr>
                <w:b/>
              </w:rPr>
            </w:pPr>
          </w:p>
        </w:tc>
        <w:tc>
          <w:tcPr>
            <w:tcW w:w="2132" w:type="dxa"/>
            <w:shd w:val="clear" w:color="auto" w:fill="DBE5F1"/>
          </w:tcPr>
          <w:p w:rsidR="00261FF1" w:rsidRDefault="00261FF1" w:rsidP="00ED6F02">
            <w:pPr>
              <w:pStyle w:val="ListParagraph"/>
              <w:numPr>
                <w:ilvl w:val="0"/>
                <w:numId w:val="0"/>
              </w:numPr>
            </w:pPr>
          </w:p>
        </w:tc>
        <w:tc>
          <w:tcPr>
            <w:tcW w:w="2408" w:type="dxa"/>
            <w:shd w:val="clear" w:color="auto" w:fill="DBE5F1"/>
          </w:tcPr>
          <w:p w:rsidR="00261FF1" w:rsidRDefault="00261FF1" w:rsidP="00ED6F02">
            <w:pPr>
              <w:pStyle w:val="ListParagraph"/>
              <w:numPr>
                <w:ilvl w:val="0"/>
                <w:numId w:val="0"/>
              </w:numPr>
            </w:pPr>
          </w:p>
        </w:tc>
      </w:tr>
    </w:tbl>
    <w:p w:rsidR="00CD1F3C" w:rsidRDefault="00CD1F3C" w:rsidP="00CD1F3C">
      <w:pPr>
        <w:pStyle w:val="ListParagraph"/>
        <w:numPr>
          <w:ilvl w:val="0"/>
          <w:numId w:val="0"/>
        </w:numPr>
        <w:ind w:left="360"/>
      </w:pPr>
    </w:p>
    <w:p w:rsidR="00B42C57" w:rsidRDefault="00E751BB" w:rsidP="00B42C57">
      <w:pPr>
        <w:pStyle w:val="ListParagraph"/>
      </w:pPr>
      <w:r>
        <w:t xml:space="preserve"> </w:t>
      </w:r>
      <w:r w:rsidR="00B42C57">
        <w:t>In summary</w:t>
      </w:r>
    </w:p>
    <w:p w:rsidR="00B42C57" w:rsidRDefault="00B42C57" w:rsidP="00043FD6">
      <w:pPr>
        <w:pStyle w:val="ListParagraph"/>
        <w:numPr>
          <w:ilvl w:val="3"/>
          <w:numId w:val="37"/>
        </w:numPr>
        <w:tabs>
          <w:tab w:val="clear" w:pos="426"/>
        </w:tabs>
        <w:ind w:left="993" w:hanging="567"/>
      </w:pPr>
      <w:r>
        <w:t>No CIL Neighbourhood Po</w:t>
      </w:r>
      <w:r w:rsidR="000F7B4B">
        <w:t>r</w:t>
      </w:r>
      <w:r>
        <w:t xml:space="preserve">tion will be made available to ward </w:t>
      </w:r>
      <w:proofErr w:type="gramStart"/>
      <w:r>
        <w:t>member’s</w:t>
      </w:r>
      <w:proofErr w:type="gramEnd"/>
      <w:r>
        <w:t xml:space="preserve"> in wards </w:t>
      </w:r>
      <w:r w:rsidR="000C5708">
        <w:t>where that ward is entirely or almost entirely within the area of a Parish Council.</w:t>
      </w:r>
    </w:p>
    <w:p w:rsidR="00B42C57" w:rsidRDefault="00B42C57" w:rsidP="00043FD6">
      <w:pPr>
        <w:pStyle w:val="ListParagraph"/>
        <w:numPr>
          <w:ilvl w:val="3"/>
          <w:numId w:val="37"/>
        </w:numPr>
        <w:tabs>
          <w:tab w:val="clear" w:pos="426"/>
        </w:tabs>
        <w:ind w:left="993" w:hanging="567"/>
      </w:pPr>
      <w:r>
        <w:t>The regime of topping up ward member budgets, relating to non-parish areas of the city, will take effect from 2016/17 and will look to apportion any Neighbourhood Portion cumulatively received up to the end of the previous financial year subject to point 3 below.</w:t>
      </w:r>
    </w:p>
    <w:p w:rsidR="00B42C57" w:rsidRDefault="00B42C57" w:rsidP="00043FD6">
      <w:pPr>
        <w:pStyle w:val="ListParagraph"/>
        <w:numPr>
          <w:ilvl w:val="3"/>
          <w:numId w:val="37"/>
        </w:numPr>
        <w:tabs>
          <w:tab w:val="clear" w:pos="426"/>
        </w:tabs>
        <w:ind w:left="993" w:hanging="567"/>
      </w:pPr>
      <w:r>
        <w:t>A maximum of an additional £5,000 per Ward in unparished area of the City of any Neighbourhood Portion of CIL received will be made in any one financial year.  The amount available per financial year will be equitably apportioned between local ward members. The balance of any Neighbourhood Portion will be utilised on the provision, improvement, replacement, operation or maintenance of infrastructure or anything else that is concerned with addressing the demands that development places on an area.</w:t>
      </w:r>
    </w:p>
    <w:p w:rsidR="00B42C57" w:rsidRDefault="00B42C57" w:rsidP="00043FD6">
      <w:pPr>
        <w:pStyle w:val="ListParagraph"/>
        <w:numPr>
          <w:ilvl w:val="3"/>
          <w:numId w:val="37"/>
        </w:numPr>
        <w:tabs>
          <w:tab w:val="clear" w:pos="426"/>
        </w:tabs>
        <w:ind w:left="993" w:hanging="567"/>
      </w:pPr>
      <w:r>
        <w:t>Ward members must be mindful of the intended use of the Neighbourhood Portion of CIL and should endeavour to fund related projects, or seek to combine resources for a larger project.</w:t>
      </w:r>
    </w:p>
    <w:p w:rsidR="00B42C57" w:rsidRDefault="00B42C57" w:rsidP="00043FD6">
      <w:pPr>
        <w:pStyle w:val="ListParagraph"/>
        <w:numPr>
          <w:ilvl w:val="3"/>
          <w:numId w:val="37"/>
        </w:numPr>
        <w:tabs>
          <w:tab w:val="clear" w:pos="426"/>
        </w:tabs>
        <w:ind w:left="993" w:hanging="567"/>
      </w:pPr>
      <w:r>
        <w:t>All unspent annual ward member allocations will be in the first instance moved back to the general Neighbourhood Portion for that ward to be allocated in future financial years, up to the maximum of £5,000 per ward.</w:t>
      </w:r>
    </w:p>
    <w:p w:rsidR="00E751BB" w:rsidRPr="001356F1" w:rsidRDefault="00B42C57" w:rsidP="00043FD6">
      <w:pPr>
        <w:pStyle w:val="ListParagraph"/>
        <w:numPr>
          <w:ilvl w:val="3"/>
          <w:numId w:val="37"/>
        </w:numPr>
        <w:tabs>
          <w:tab w:val="clear" w:pos="426"/>
        </w:tabs>
        <w:ind w:left="993" w:hanging="567"/>
      </w:pPr>
      <w:r>
        <w:t>An annual summary of the Neighbourhood Portion of CIL passed to Parish Councils, Neighbourhood Forums and non-parish Wards (Ward Members) detailing the projects and activities the distributed CIL monies have financially supported during the year will be compiled and copies will be available for interested parties.</w:t>
      </w:r>
    </w:p>
    <w:p w:rsidR="0040736F" w:rsidRPr="001356F1" w:rsidRDefault="00DA614B" w:rsidP="004A6D2F">
      <w:pPr>
        <w:pStyle w:val="Heading1"/>
      </w:pPr>
      <w:r w:rsidRPr="001356F1">
        <w:t>Legal issues</w:t>
      </w:r>
    </w:p>
    <w:p w:rsidR="00E87F7A" w:rsidRPr="001356F1" w:rsidRDefault="003248E3" w:rsidP="005570B5">
      <w:pPr>
        <w:pStyle w:val="ListParagraph"/>
      </w:pPr>
      <w:r w:rsidRPr="00673530">
        <w:rPr>
          <w:color w:val="auto"/>
        </w:rPr>
        <w:t>The legal issues are addressed throughout the main body of the report</w:t>
      </w:r>
      <w:r w:rsidR="00673530">
        <w:rPr>
          <w:color w:val="FF0000"/>
        </w:rPr>
        <w:t>.</w:t>
      </w:r>
    </w:p>
    <w:p w:rsidR="002329CF" w:rsidRPr="001356F1" w:rsidRDefault="002329CF" w:rsidP="004A6D2F">
      <w:pPr>
        <w:pStyle w:val="Heading1"/>
      </w:pPr>
      <w:r w:rsidRPr="001356F1">
        <w:t>Level of risk</w:t>
      </w:r>
    </w:p>
    <w:p w:rsidR="00155FEB" w:rsidRPr="00155FEB" w:rsidRDefault="00155FEB" w:rsidP="00155FEB">
      <w:pPr>
        <w:pStyle w:val="ListParagraph"/>
      </w:pPr>
      <w:r w:rsidRPr="00155FEB">
        <w:t xml:space="preserve">A risk assessment has been undertaken (Appendix </w:t>
      </w:r>
      <w:r w:rsidR="00A8647B">
        <w:t>1</w:t>
      </w:r>
      <w:r w:rsidRPr="00155FEB">
        <w:t xml:space="preserve">).  All risks have been mitigated to an acceptable level. </w:t>
      </w:r>
    </w:p>
    <w:p w:rsidR="002329CF" w:rsidRPr="001356F1" w:rsidRDefault="002329CF" w:rsidP="0050321C">
      <w:pPr>
        <w:pStyle w:val="Heading1"/>
      </w:pPr>
      <w:r w:rsidRPr="001356F1">
        <w:t xml:space="preserve">Equalities impact </w:t>
      </w:r>
    </w:p>
    <w:p w:rsidR="00155FEB" w:rsidRPr="00155FEB" w:rsidRDefault="00155FEB" w:rsidP="00155FEB">
      <w:pPr>
        <w:pStyle w:val="ListParagraph"/>
      </w:pPr>
      <w:r w:rsidRPr="00155FEB">
        <w:t xml:space="preserve">There are no equalities impacts arising from this report. </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1B5EA4" w:rsidP="00A46E98">
            <w:r>
              <w:t>Lorraine Freeman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1B5EA4" w:rsidP="00A46E98">
            <w:r>
              <w:t>Developer Funding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1B5EA4" w:rsidP="00A46E98">
            <w:r>
              <w:t>Planning &amp; Regulatory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1B5EA4">
            <w:r w:rsidRPr="001356F1">
              <w:t xml:space="preserve">01865 </w:t>
            </w:r>
            <w:r w:rsidR="001B5EA4">
              <w:t>252178</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1B5EA4" w:rsidP="00A46E98">
            <w:pPr>
              <w:rPr>
                <w:rStyle w:val="Hyperlink"/>
                <w:color w:val="000000"/>
              </w:rPr>
            </w:pPr>
            <w:r>
              <w:rPr>
                <w:rStyle w:val="Hyperlink"/>
                <w:color w:val="000000"/>
              </w:rPr>
              <w:t>lfreeman@oxford.gov.uk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B9139E" w:rsidRPr="009E51FC" w:rsidRDefault="00B9139E" w:rsidP="00CA6D7B"/>
    <w:sectPr w:rsidR="00B9139E"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FE8" w:rsidRDefault="00B42FE8" w:rsidP="004A6D2F">
      <w:r>
        <w:separator/>
      </w:r>
    </w:p>
  </w:endnote>
  <w:endnote w:type="continuationSeparator" w:id="0">
    <w:p w:rsidR="00B42FE8" w:rsidRDefault="00B42FE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AF" w:rsidRDefault="003D2CAF" w:rsidP="004A6D2F">
    <w:pPr>
      <w:pStyle w:val="Footer"/>
    </w:pPr>
    <w:r>
      <w:t>Do not use a footer or page numbers.</w:t>
    </w:r>
  </w:p>
  <w:p w:rsidR="003D2CAF" w:rsidRDefault="003D2CAF" w:rsidP="004A6D2F">
    <w:pPr>
      <w:pStyle w:val="Footer"/>
    </w:pPr>
  </w:p>
  <w:p w:rsidR="003D2CAF" w:rsidRDefault="003D2CAF"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AF" w:rsidRDefault="003D2CAF"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FE8" w:rsidRDefault="00B42FE8" w:rsidP="004A6D2F">
      <w:r>
        <w:separator/>
      </w:r>
    </w:p>
  </w:footnote>
  <w:footnote w:type="continuationSeparator" w:id="0">
    <w:p w:rsidR="00B42FE8" w:rsidRDefault="00B42FE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AF" w:rsidRDefault="00206110"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CD201BB"/>
    <w:multiLevelType w:val="hybridMultilevel"/>
    <w:tmpl w:val="128A94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6AA6E9B"/>
    <w:multiLevelType w:val="hybridMultilevel"/>
    <w:tmpl w:val="03F64FE0"/>
    <w:lvl w:ilvl="0" w:tplc="376E02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5721B7"/>
    <w:multiLevelType w:val="hybridMultilevel"/>
    <w:tmpl w:val="2B828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5B40AC"/>
    <w:multiLevelType w:val="hybridMultilevel"/>
    <w:tmpl w:val="9A5A1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98365C6"/>
    <w:multiLevelType w:val="multilevel"/>
    <w:tmpl w:val="E67CE66C"/>
    <w:numStyleLink w:val="StyleNumberedLeft0cmHanging075cm"/>
  </w:abstractNum>
  <w:num w:numId="1">
    <w:abstractNumId w:val="28"/>
  </w:num>
  <w:num w:numId="2">
    <w:abstractNumId w:val="33"/>
  </w:num>
  <w:num w:numId="3">
    <w:abstractNumId w:val="25"/>
  </w:num>
  <w:num w:numId="4">
    <w:abstractNumId w:val="20"/>
  </w:num>
  <w:num w:numId="5">
    <w:abstractNumId w:val="30"/>
  </w:num>
  <w:num w:numId="6">
    <w:abstractNumId w:val="35"/>
  </w:num>
  <w:num w:numId="7">
    <w:abstractNumId w:val="24"/>
  </w:num>
  <w:num w:numId="8">
    <w:abstractNumId w:val="21"/>
  </w:num>
  <w:num w:numId="9">
    <w:abstractNumId w:val="13"/>
  </w:num>
  <w:num w:numId="10">
    <w:abstractNumId w:val="16"/>
  </w:num>
  <w:num w:numId="11">
    <w:abstractNumId w:val="27"/>
  </w:num>
  <w:num w:numId="12">
    <w:abstractNumId w:val="26"/>
  </w:num>
  <w:num w:numId="13">
    <w:abstractNumId w:val="10"/>
  </w:num>
  <w:num w:numId="14">
    <w:abstractNumId w:val="36"/>
  </w:num>
  <w:num w:numId="15">
    <w:abstractNumId w:val="17"/>
  </w:num>
  <w:num w:numId="16">
    <w:abstractNumId w:val="11"/>
  </w:num>
  <w:num w:numId="17">
    <w:abstractNumId w:val="29"/>
  </w:num>
  <w:num w:numId="18">
    <w:abstractNumId w:val="12"/>
  </w:num>
  <w:num w:numId="19">
    <w:abstractNumId w:val="31"/>
  </w:num>
  <w:num w:numId="20">
    <w:abstractNumId w:val="18"/>
  </w:num>
  <w:num w:numId="21">
    <w:abstractNumId w:val="23"/>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2"/>
  </w:num>
  <w:num w:numId="35">
    <w:abstractNumId w:val="34"/>
  </w:num>
  <w:num w:numId="36">
    <w:abstractNumId w:val="19"/>
  </w:num>
  <w:num w:numId="3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EA"/>
    <w:rsid w:val="00004689"/>
    <w:rsid w:val="000117D4"/>
    <w:rsid w:val="000314D7"/>
    <w:rsid w:val="00043FD6"/>
    <w:rsid w:val="00045F8B"/>
    <w:rsid w:val="00046D2B"/>
    <w:rsid w:val="00056263"/>
    <w:rsid w:val="00064D8A"/>
    <w:rsid w:val="00064F82"/>
    <w:rsid w:val="00066510"/>
    <w:rsid w:val="00077523"/>
    <w:rsid w:val="000C089F"/>
    <w:rsid w:val="000C3928"/>
    <w:rsid w:val="000C5708"/>
    <w:rsid w:val="000C5E8E"/>
    <w:rsid w:val="000F4113"/>
    <w:rsid w:val="000F4751"/>
    <w:rsid w:val="000F7B4B"/>
    <w:rsid w:val="0010524C"/>
    <w:rsid w:val="00111FB1"/>
    <w:rsid w:val="00113418"/>
    <w:rsid w:val="00131924"/>
    <w:rsid w:val="001356F1"/>
    <w:rsid w:val="00136994"/>
    <w:rsid w:val="0014128E"/>
    <w:rsid w:val="00151888"/>
    <w:rsid w:val="00155FEB"/>
    <w:rsid w:val="00165365"/>
    <w:rsid w:val="00170A2D"/>
    <w:rsid w:val="001808BC"/>
    <w:rsid w:val="00182B81"/>
    <w:rsid w:val="0018619D"/>
    <w:rsid w:val="001A011E"/>
    <w:rsid w:val="001A066A"/>
    <w:rsid w:val="001A13E6"/>
    <w:rsid w:val="001A5731"/>
    <w:rsid w:val="001B42C3"/>
    <w:rsid w:val="001B5EA4"/>
    <w:rsid w:val="001C459A"/>
    <w:rsid w:val="001C5D5E"/>
    <w:rsid w:val="001D678D"/>
    <w:rsid w:val="001E03F8"/>
    <w:rsid w:val="001E1678"/>
    <w:rsid w:val="001E3376"/>
    <w:rsid w:val="00206110"/>
    <w:rsid w:val="002069B3"/>
    <w:rsid w:val="0021506A"/>
    <w:rsid w:val="002200CF"/>
    <w:rsid w:val="002329CF"/>
    <w:rsid w:val="00232F5B"/>
    <w:rsid w:val="00247C29"/>
    <w:rsid w:val="00260467"/>
    <w:rsid w:val="00261FF1"/>
    <w:rsid w:val="00263EA3"/>
    <w:rsid w:val="00281BC7"/>
    <w:rsid w:val="00284F85"/>
    <w:rsid w:val="00290915"/>
    <w:rsid w:val="00296DEF"/>
    <w:rsid w:val="002A22E2"/>
    <w:rsid w:val="002B77FC"/>
    <w:rsid w:val="002C369C"/>
    <w:rsid w:val="002C64F7"/>
    <w:rsid w:val="002F41F2"/>
    <w:rsid w:val="00301BF3"/>
    <w:rsid w:val="0030208D"/>
    <w:rsid w:val="00312BF8"/>
    <w:rsid w:val="00322354"/>
    <w:rsid w:val="00323418"/>
    <w:rsid w:val="003248E3"/>
    <w:rsid w:val="003357BF"/>
    <w:rsid w:val="003401A4"/>
    <w:rsid w:val="00364FAD"/>
    <w:rsid w:val="0036738F"/>
    <w:rsid w:val="0036759C"/>
    <w:rsid w:val="00367AE5"/>
    <w:rsid w:val="00367D71"/>
    <w:rsid w:val="00370FA9"/>
    <w:rsid w:val="00372D4A"/>
    <w:rsid w:val="00377856"/>
    <w:rsid w:val="0038150A"/>
    <w:rsid w:val="00385ED3"/>
    <w:rsid w:val="003B6E75"/>
    <w:rsid w:val="003B7DA1"/>
    <w:rsid w:val="003C1C97"/>
    <w:rsid w:val="003D0379"/>
    <w:rsid w:val="003D2574"/>
    <w:rsid w:val="003D2CAF"/>
    <w:rsid w:val="003D4C59"/>
    <w:rsid w:val="003F4267"/>
    <w:rsid w:val="003F74EA"/>
    <w:rsid w:val="00404032"/>
    <w:rsid w:val="0040736F"/>
    <w:rsid w:val="00412C1F"/>
    <w:rsid w:val="00421CB2"/>
    <w:rsid w:val="00425270"/>
    <w:rsid w:val="004268B9"/>
    <w:rsid w:val="0043381C"/>
    <w:rsid w:val="00433B96"/>
    <w:rsid w:val="004440F1"/>
    <w:rsid w:val="004456DD"/>
    <w:rsid w:val="00446CDF"/>
    <w:rsid w:val="004521B7"/>
    <w:rsid w:val="00453DA4"/>
    <w:rsid w:val="004568DF"/>
    <w:rsid w:val="00462AB5"/>
    <w:rsid w:val="00465EAF"/>
    <w:rsid w:val="00467365"/>
    <w:rsid w:val="004738C5"/>
    <w:rsid w:val="0048737A"/>
    <w:rsid w:val="004907BC"/>
    <w:rsid w:val="00491046"/>
    <w:rsid w:val="00493C53"/>
    <w:rsid w:val="004A2AC7"/>
    <w:rsid w:val="004A6D2F"/>
    <w:rsid w:val="004B3502"/>
    <w:rsid w:val="004C2887"/>
    <w:rsid w:val="004D2626"/>
    <w:rsid w:val="004D6E26"/>
    <w:rsid w:val="004D77D3"/>
    <w:rsid w:val="004E2959"/>
    <w:rsid w:val="004F20EF"/>
    <w:rsid w:val="004F76E2"/>
    <w:rsid w:val="004F7B00"/>
    <w:rsid w:val="0050321C"/>
    <w:rsid w:val="00534202"/>
    <w:rsid w:val="00542453"/>
    <w:rsid w:val="0054712D"/>
    <w:rsid w:val="00547EF6"/>
    <w:rsid w:val="005570B5"/>
    <w:rsid w:val="00567E18"/>
    <w:rsid w:val="00575F5F"/>
    <w:rsid w:val="0057739D"/>
    <w:rsid w:val="00580A0C"/>
    <w:rsid w:val="00581805"/>
    <w:rsid w:val="00585F76"/>
    <w:rsid w:val="005A00F2"/>
    <w:rsid w:val="005A34E4"/>
    <w:rsid w:val="005B17F2"/>
    <w:rsid w:val="005B5785"/>
    <w:rsid w:val="005B7FB0"/>
    <w:rsid w:val="005C35A5"/>
    <w:rsid w:val="005C577C"/>
    <w:rsid w:val="005D0621"/>
    <w:rsid w:val="005D1E27"/>
    <w:rsid w:val="005D2A3E"/>
    <w:rsid w:val="005E022E"/>
    <w:rsid w:val="005E5215"/>
    <w:rsid w:val="005E5551"/>
    <w:rsid w:val="005F7F7E"/>
    <w:rsid w:val="00614693"/>
    <w:rsid w:val="00623C2F"/>
    <w:rsid w:val="00623D47"/>
    <w:rsid w:val="00633578"/>
    <w:rsid w:val="00637068"/>
    <w:rsid w:val="00650811"/>
    <w:rsid w:val="00651C7A"/>
    <w:rsid w:val="00661D3E"/>
    <w:rsid w:val="00673530"/>
    <w:rsid w:val="00692627"/>
    <w:rsid w:val="006969E7"/>
    <w:rsid w:val="006976D6"/>
    <w:rsid w:val="006A3643"/>
    <w:rsid w:val="006A7E73"/>
    <w:rsid w:val="006C2A29"/>
    <w:rsid w:val="006C3482"/>
    <w:rsid w:val="006C64CF"/>
    <w:rsid w:val="006D17B1"/>
    <w:rsid w:val="006D4752"/>
    <w:rsid w:val="006D708A"/>
    <w:rsid w:val="006E14C1"/>
    <w:rsid w:val="006F0292"/>
    <w:rsid w:val="006F27FA"/>
    <w:rsid w:val="006F416B"/>
    <w:rsid w:val="006F519B"/>
    <w:rsid w:val="00705053"/>
    <w:rsid w:val="00705D0B"/>
    <w:rsid w:val="00711FFC"/>
    <w:rsid w:val="00713675"/>
    <w:rsid w:val="00715823"/>
    <w:rsid w:val="00737B93"/>
    <w:rsid w:val="00745BF0"/>
    <w:rsid w:val="007479FA"/>
    <w:rsid w:val="007615FE"/>
    <w:rsid w:val="0076655C"/>
    <w:rsid w:val="0076780C"/>
    <w:rsid w:val="007742DC"/>
    <w:rsid w:val="00791437"/>
    <w:rsid w:val="007B0C2C"/>
    <w:rsid w:val="007B278E"/>
    <w:rsid w:val="007C5C23"/>
    <w:rsid w:val="007C7640"/>
    <w:rsid w:val="007E07BD"/>
    <w:rsid w:val="007E2A26"/>
    <w:rsid w:val="007F2348"/>
    <w:rsid w:val="00803F07"/>
    <w:rsid w:val="0080749A"/>
    <w:rsid w:val="00821FB8"/>
    <w:rsid w:val="00822ACD"/>
    <w:rsid w:val="00833B94"/>
    <w:rsid w:val="008352C7"/>
    <w:rsid w:val="00835736"/>
    <w:rsid w:val="008443B4"/>
    <w:rsid w:val="00855C66"/>
    <w:rsid w:val="00864930"/>
    <w:rsid w:val="00871EE4"/>
    <w:rsid w:val="00872867"/>
    <w:rsid w:val="00874073"/>
    <w:rsid w:val="00894C63"/>
    <w:rsid w:val="008B293F"/>
    <w:rsid w:val="008B7371"/>
    <w:rsid w:val="008C77AB"/>
    <w:rsid w:val="008D3DDB"/>
    <w:rsid w:val="008E5D46"/>
    <w:rsid w:val="008F573F"/>
    <w:rsid w:val="00902133"/>
    <w:rsid w:val="009034EC"/>
    <w:rsid w:val="009070B5"/>
    <w:rsid w:val="00924C64"/>
    <w:rsid w:val="0093067A"/>
    <w:rsid w:val="00941C60"/>
    <w:rsid w:val="00964B96"/>
    <w:rsid w:val="00966D42"/>
    <w:rsid w:val="0097128B"/>
    <w:rsid w:val="00971689"/>
    <w:rsid w:val="00973E90"/>
    <w:rsid w:val="00975B07"/>
    <w:rsid w:val="00980B4A"/>
    <w:rsid w:val="009B62BF"/>
    <w:rsid w:val="009E3D0A"/>
    <w:rsid w:val="009E51FC"/>
    <w:rsid w:val="009F1706"/>
    <w:rsid w:val="009F1D28"/>
    <w:rsid w:val="009F7618"/>
    <w:rsid w:val="00A04D23"/>
    <w:rsid w:val="00A06766"/>
    <w:rsid w:val="00A07921"/>
    <w:rsid w:val="00A13765"/>
    <w:rsid w:val="00A21B12"/>
    <w:rsid w:val="00A23F80"/>
    <w:rsid w:val="00A335F1"/>
    <w:rsid w:val="00A46E98"/>
    <w:rsid w:val="00A6352B"/>
    <w:rsid w:val="00A65046"/>
    <w:rsid w:val="00A701B5"/>
    <w:rsid w:val="00A714BB"/>
    <w:rsid w:val="00A718B7"/>
    <w:rsid w:val="00A8647B"/>
    <w:rsid w:val="00A92D8F"/>
    <w:rsid w:val="00AB2988"/>
    <w:rsid w:val="00AB3D37"/>
    <w:rsid w:val="00AB7999"/>
    <w:rsid w:val="00AD2FE5"/>
    <w:rsid w:val="00AD3292"/>
    <w:rsid w:val="00AE7AF0"/>
    <w:rsid w:val="00B25822"/>
    <w:rsid w:val="00B278A7"/>
    <w:rsid w:val="00B42C57"/>
    <w:rsid w:val="00B42FE8"/>
    <w:rsid w:val="00B500CA"/>
    <w:rsid w:val="00B82B7A"/>
    <w:rsid w:val="00B82FE6"/>
    <w:rsid w:val="00B8501D"/>
    <w:rsid w:val="00B86314"/>
    <w:rsid w:val="00B868B8"/>
    <w:rsid w:val="00B9139E"/>
    <w:rsid w:val="00BA0AD8"/>
    <w:rsid w:val="00BA1C2E"/>
    <w:rsid w:val="00BC200B"/>
    <w:rsid w:val="00BC4756"/>
    <w:rsid w:val="00BC69A4"/>
    <w:rsid w:val="00BE0680"/>
    <w:rsid w:val="00BE305F"/>
    <w:rsid w:val="00BE7BA3"/>
    <w:rsid w:val="00BF5682"/>
    <w:rsid w:val="00BF7B09"/>
    <w:rsid w:val="00C20A95"/>
    <w:rsid w:val="00C25FF4"/>
    <w:rsid w:val="00C2692F"/>
    <w:rsid w:val="00C3207C"/>
    <w:rsid w:val="00C400E1"/>
    <w:rsid w:val="00C41187"/>
    <w:rsid w:val="00C62C1B"/>
    <w:rsid w:val="00C63C31"/>
    <w:rsid w:val="00C744FC"/>
    <w:rsid w:val="00C757A0"/>
    <w:rsid w:val="00C760DE"/>
    <w:rsid w:val="00C82630"/>
    <w:rsid w:val="00C8497B"/>
    <w:rsid w:val="00C85B4E"/>
    <w:rsid w:val="00C907F7"/>
    <w:rsid w:val="00CA2103"/>
    <w:rsid w:val="00CA6D7B"/>
    <w:rsid w:val="00CB6B99"/>
    <w:rsid w:val="00CC74FB"/>
    <w:rsid w:val="00CD1F3C"/>
    <w:rsid w:val="00CD224F"/>
    <w:rsid w:val="00CE4C87"/>
    <w:rsid w:val="00CE544A"/>
    <w:rsid w:val="00D11E1C"/>
    <w:rsid w:val="00D160B0"/>
    <w:rsid w:val="00D17F94"/>
    <w:rsid w:val="00D223FC"/>
    <w:rsid w:val="00D26D1E"/>
    <w:rsid w:val="00D474CF"/>
    <w:rsid w:val="00D5547E"/>
    <w:rsid w:val="00D80E42"/>
    <w:rsid w:val="00D869A1"/>
    <w:rsid w:val="00DA413F"/>
    <w:rsid w:val="00DA4584"/>
    <w:rsid w:val="00DA4F30"/>
    <w:rsid w:val="00DA614B"/>
    <w:rsid w:val="00DC3060"/>
    <w:rsid w:val="00DD7E79"/>
    <w:rsid w:val="00DE0FB2"/>
    <w:rsid w:val="00DE68C6"/>
    <w:rsid w:val="00DF093E"/>
    <w:rsid w:val="00DF0C35"/>
    <w:rsid w:val="00E01F42"/>
    <w:rsid w:val="00E02CAC"/>
    <w:rsid w:val="00E03711"/>
    <w:rsid w:val="00E206D6"/>
    <w:rsid w:val="00E24748"/>
    <w:rsid w:val="00E3366E"/>
    <w:rsid w:val="00E52086"/>
    <w:rsid w:val="00E543A6"/>
    <w:rsid w:val="00E60479"/>
    <w:rsid w:val="00E61D73"/>
    <w:rsid w:val="00E72D53"/>
    <w:rsid w:val="00E73684"/>
    <w:rsid w:val="00E751BB"/>
    <w:rsid w:val="00E818D6"/>
    <w:rsid w:val="00E85482"/>
    <w:rsid w:val="00E87F7A"/>
    <w:rsid w:val="00E96BD7"/>
    <w:rsid w:val="00EA0DB1"/>
    <w:rsid w:val="00EA0EE9"/>
    <w:rsid w:val="00ED52CA"/>
    <w:rsid w:val="00ED5860"/>
    <w:rsid w:val="00ED6F02"/>
    <w:rsid w:val="00EE35C9"/>
    <w:rsid w:val="00F05ECA"/>
    <w:rsid w:val="00F10192"/>
    <w:rsid w:val="00F3566E"/>
    <w:rsid w:val="00F375FB"/>
    <w:rsid w:val="00F41AC1"/>
    <w:rsid w:val="00F4367A"/>
    <w:rsid w:val="00F445B1"/>
    <w:rsid w:val="00F45CD4"/>
    <w:rsid w:val="00F4659A"/>
    <w:rsid w:val="00F66DCA"/>
    <w:rsid w:val="00F74F53"/>
    <w:rsid w:val="00F7606D"/>
    <w:rsid w:val="00F809A9"/>
    <w:rsid w:val="00F81670"/>
    <w:rsid w:val="00F82024"/>
    <w:rsid w:val="00F95BC9"/>
    <w:rsid w:val="00FA624C"/>
    <w:rsid w:val="00FB567E"/>
    <w:rsid w:val="00FC5AE1"/>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uiPriority="22"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apple-converted-space">
    <w:name w:val="apple-converted-space"/>
    <w:basedOn w:val="DefaultParagraphFont"/>
    <w:rsid w:val="002200CF"/>
  </w:style>
  <w:style w:type="character" w:styleId="Strong">
    <w:name w:val="Strong"/>
    <w:basedOn w:val="DefaultParagraphFont"/>
    <w:uiPriority w:val="22"/>
    <w:qFormat/>
    <w:rsid w:val="002200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uiPriority="22"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apple-converted-space">
    <w:name w:val="apple-converted-space"/>
    <w:basedOn w:val="DefaultParagraphFont"/>
    <w:rsid w:val="002200CF"/>
  </w:style>
  <w:style w:type="character" w:styleId="Strong">
    <w:name w:val="Strong"/>
    <w:basedOn w:val="DefaultParagraphFont"/>
    <w:uiPriority w:val="22"/>
    <w:qFormat/>
    <w:rsid w:val="00220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9D447-9FB8-42ED-A549-E70CAED5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2E8B2ECB</Template>
  <TotalTime>4</TotalTime>
  <Pages>5</Pages>
  <Words>1384</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Michael.Morgan</dc:creator>
  <cp:lastModifiedBy>catherine.phythian</cp:lastModifiedBy>
  <cp:revision>3</cp:revision>
  <cp:lastPrinted>2016-05-10T14:27:00Z</cp:lastPrinted>
  <dcterms:created xsi:type="dcterms:W3CDTF">2016-05-11T07:39:00Z</dcterms:created>
  <dcterms:modified xsi:type="dcterms:W3CDTF">2016-05-11T07:43:00Z</dcterms:modified>
</cp:coreProperties>
</file>